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6" w:rsidRDefault="009924B6" w:rsidP="009924B6">
      <w:pPr>
        <w:jc w:val="center"/>
        <w:rPr>
          <w:rFonts w:ascii="Times New Roman" w:hAnsi="Times New Roman"/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6270" cy="8426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B6" w:rsidRPr="00294B5B" w:rsidRDefault="009924B6" w:rsidP="000B051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КОНТРОЛЬНО</w:t>
      </w:r>
      <w:r w:rsidRPr="00905303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СЧЕТНАЯ ПАЛАТА</w:t>
      </w:r>
    </w:p>
    <w:p w:rsidR="009924B6" w:rsidRPr="00294B5B" w:rsidRDefault="009924B6" w:rsidP="000B0512">
      <w:pPr>
        <w:pStyle w:val="ae"/>
        <w:spacing w:after="0"/>
        <w:textAlignment w:val="baseline"/>
        <w:rPr>
          <w:rFonts w:ascii="Times New Roman" w:hAnsi="Times New Roman"/>
          <w:b/>
          <w:szCs w:val="24"/>
        </w:rPr>
      </w:pPr>
      <w:r w:rsidRPr="00294B5B">
        <w:rPr>
          <w:rFonts w:ascii="Times New Roman" w:hAnsi="Times New Roman"/>
          <w:b/>
          <w:szCs w:val="24"/>
        </w:rPr>
        <w:t>МУНИЦИПАЛЬНОГО РАЙОНА</w:t>
      </w:r>
      <w:r>
        <w:rPr>
          <w:rFonts w:ascii="Times New Roman" w:hAnsi="Times New Roman"/>
          <w:b/>
          <w:szCs w:val="24"/>
        </w:rPr>
        <w:t xml:space="preserve"> </w:t>
      </w:r>
      <w:r w:rsidRPr="00294B5B">
        <w:rPr>
          <w:rFonts w:ascii="Times New Roman" w:hAnsi="Times New Roman"/>
          <w:b/>
          <w:szCs w:val="24"/>
        </w:rPr>
        <w:t>МУНИЦИПАЛЬНОГО ОБРАЗОВАНИЯ</w:t>
      </w:r>
    </w:p>
    <w:p w:rsidR="006B2106" w:rsidRPr="00F146A2" w:rsidRDefault="009924B6" w:rsidP="000B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4B5B">
        <w:rPr>
          <w:rFonts w:ascii="Times New Roman" w:hAnsi="Times New Roman"/>
          <w:b/>
          <w:szCs w:val="24"/>
        </w:rPr>
        <w:t>«НИЖНЕУДИНСКИЙ РАЙОН»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106" w:rsidRPr="00F146A2" w:rsidRDefault="006B2106" w:rsidP="000F2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   КСП  № 01-0</w:t>
      </w:r>
      <w:r w:rsidR="00CC7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CC7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A3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6B2106" w:rsidRPr="00F146A2" w:rsidRDefault="006B2106" w:rsidP="000F2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эксперти</w:t>
      </w:r>
      <w:r w:rsidR="00E85F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зе проекта решения Думы </w:t>
      </w:r>
      <w:r w:rsidR="00EA3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Чеховского</w:t>
      </w:r>
    </w:p>
    <w:p w:rsidR="006B2106" w:rsidRPr="00F146A2" w:rsidRDefault="006B2106" w:rsidP="000F2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  образования сельского поселения</w:t>
      </w:r>
    </w:p>
    <w:p w:rsidR="006B2106" w:rsidRPr="00F146A2" w:rsidRDefault="006B2106" w:rsidP="000F2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бюджете </w:t>
      </w:r>
      <w:r w:rsidR="00EA3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Чеховского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на </w:t>
      </w:r>
      <w:r w:rsidR="00FD54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05D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B2106" w:rsidRPr="00F146A2" w:rsidRDefault="00754B90" w:rsidP="000F2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</w:t>
      </w:r>
      <w:r w:rsidR="00EE1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EE1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E1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годов»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A05DA4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 xml:space="preserve"> дека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бря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538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г. Нижнеудинск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8C2F89" w:rsidP="0078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Контрольно-счетной палаты муниципального района муниципального образования «Нижнеудинский район» по результатам экспертизы проекта решения Думы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«О бюджете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05D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805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805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подготовлено в соответствии с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Бюджетным кодексом Российской Федерации (далее  по  тексту БК  РФ), Федеральным законом от 07.02.2011 года № 6-ФЗ «Об общих принципах организации и деятельности контрольно-счетных органов</w:t>
      </w:r>
      <w:proofErr w:type="gramEnd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и муниципальных образований», Положениями «О бюджетном процессе в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Чеховс</w:t>
      </w:r>
      <w:r w:rsidR="00543EF0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образовании, «О Контрольно-счетной палате муниципального района муниципального образования «Нижнеудинский   район», Соглашением о передаче полномочий по осуществлению внешнего муниципального финансового контроля</w:t>
      </w:r>
      <w:r w:rsidR="003C0A5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3C0A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3C0A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C0A5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. Проект решения Думы «О бюджете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05D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805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805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07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представлен на рассмотрение в Думу муниципального образования в соответствии с требованиями статьи 185 БК РФ.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052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выводы и предложения: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106" w:rsidRPr="00F146A2" w:rsidRDefault="006B2106" w:rsidP="009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1.Представленный администрацией проект решения Думы «О бюджете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05D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805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805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по основным параметрам соответствует положениям бюджетного законодательства РФ. </w:t>
      </w:r>
    </w:p>
    <w:p w:rsidR="00B332B4" w:rsidRDefault="006B2106" w:rsidP="00B332B4">
      <w:pPr>
        <w:spacing w:after="0" w:line="240" w:lineRule="auto"/>
        <w:ind w:firstLine="708"/>
        <w:jc w:val="both"/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2.Доходы бюджета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05D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885A4E">
        <w:rPr>
          <w:rFonts w:ascii="Times New Roman" w:hAnsi="Times New Roman" w:cs="Times New Roman"/>
          <w:sz w:val="24"/>
          <w:szCs w:val="24"/>
          <w:lang w:eastAsia="ru-RU"/>
        </w:rPr>
        <w:t xml:space="preserve"> прогнозируются в объеме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9137,4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 объем безвозмездных поступлений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7955,8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Общий объем расходов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05D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 запланирован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9181,7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332B4" w:rsidRPr="00B332B4" w:rsidRDefault="00B332B4" w:rsidP="00B3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>рогнозируемый общий объем доходов бюджета муниципального образования на 20</w:t>
      </w:r>
      <w:r w:rsidR="00B00E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5764,9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4540,4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>рублей, на 20</w:t>
      </w:r>
      <w:r w:rsidR="00B00E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4280,8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2987,0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6B2106" w:rsidRPr="00F146A2" w:rsidRDefault="00B332B4" w:rsidP="00B3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2B4">
        <w:rPr>
          <w:rFonts w:ascii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на 20</w:t>
      </w:r>
      <w:r w:rsidR="00B00E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5810,8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в том числе условно утвержденные расходы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136,5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>рублей, на 20</w:t>
      </w:r>
      <w:r w:rsidR="00B00E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FB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4329,3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в том числе условно утвержденные расходы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198,7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10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C34103" w:rsidRDefault="008C1F6F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 бюджета </w:t>
      </w:r>
      <w:r w:rsidR="0035380F">
        <w:rPr>
          <w:rFonts w:ascii="Times New Roman" w:hAnsi="Times New Roman" w:cs="Times New Roman"/>
          <w:sz w:val="24"/>
          <w:szCs w:val="24"/>
          <w:lang w:eastAsia="ru-RU"/>
        </w:rPr>
        <w:t>установлен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5380F">
        <w:rPr>
          <w:rFonts w:ascii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44,3</w:t>
      </w:r>
      <w:r w:rsidR="00A05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3,75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% утвержденного общего годового объема доходов бюджета поселения без учета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утвержденного о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>бъема безвозмездных поступлений, что соответствует требованию, установленному п.3 ст. 92.1 Бюджетного кодекса РФ.</w:t>
      </w:r>
    </w:p>
    <w:p w:rsidR="006B2106" w:rsidRPr="00F146A2" w:rsidRDefault="00C34103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332B4" w:rsidRPr="00B332B4">
        <w:rPr>
          <w:rFonts w:ascii="Times New Roman" w:hAnsi="Times New Roman" w:cs="Times New Roman"/>
          <w:sz w:val="24"/>
          <w:szCs w:val="24"/>
          <w:lang w:eastAsia="ru-RU"/>
        </w:rPr>
        <w:t>азмер дефицита бюджета муниципального образования на 20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1F6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332B4"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45,9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32B4"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или 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3,75</w:t>
      </w:r>
      <w:r w:rsidR="00B332B4"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% утвержденного общего годового объема доходов бюджета муниципального образования без учета утвержденного объема безвозмездных поступлений, на 20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1F6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332B4"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48,5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32B4"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или 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3,75</w:t>
      </w:r>
      <w:r w:rsidR="00B332B4" w:rsidRPr="00B332B4">
        <w:rPr>
          <w:rFonts w:ascii="Times New Roman" w:hAnsi="Times New Roman" w:cs="Times New Roman"/>
          <w:sz w:val="24"/>
          <w:szCs w:val="24"/>
          <w:lang w:eastAsia="ru-RU"/>
        </w:rPr>
        <w:t xml:space="preserve">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6B2106" w:rsidRPr="00F146A2" w:rsidRDefault="006B2106" w:rsidP="00A56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Прогнозные показатели основных параметров бюджета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41B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6C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6C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6C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сформированы в соответствии с прогнозом социально-экономического развития муниципального образования «Нижнеудинский район», проектом Закона Иркутской области об областном бюджете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41B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6C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6C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354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6C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годов», с учетом уточненных ожидаемых параметров исполнения бюджета за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5C1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6C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6B2106" w:rsidRPr="00F146A2" w:rsidRDefault="00BB0F7E" w:rsidP="0088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. Общая сумма ассигнований на реализацию муниципальных целевых программ в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41B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916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году определена, согласно приложению № 9 в сумме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3200,2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 составляет</w:t>
      </w:r>
      <w:r w:rsidR="008C2F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069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% в общем объеме  расходов.</w:t>
      </w:r>
    </w:p>
    <w:p w:rsidR="006B2106" w:rsidRPr="00F146A2" w:rsidRDefault="00D06508" w:rsidP="00AA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E002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B2106" w:rsidRPr="005E0028">
        <w:rPr>
          <w:rFonts w:ascii="Times New Roman" w:hAnsi="Times New Roman" w:cs="Times New Roman"/>
          <w:sz w:val="24"/>
          <w:szCs w:val="24"/>
          <w:lang w:eastAsia="ru-RU"/>
        </w:rPr>
        <w:t>. Так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проектом решения о бюджете устанавливается распределение бюджетных ассигнований на реализацию муниципальных целевых программ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41B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916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916C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24AB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916C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годов, к проекту решения следовало представить проекты изменений в паспорта</w:t>
      </w:r>
      <w:r w:rsidR="007B503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  <w:r w:rsidR="00E41BD5">
        <w:rPr>
          <w:rFonts w:ascii="Times New Roman" w:hAnsi="Times New Roman" w:cs="Times New Roman"/>
          <w:sz w:val="24"/>
          <w:szCs w:val="24"/>
          <w:lang w:eastAsia="ru-RU"/>
        </w:rPr>
        <w:t>, реестр расходных обязательств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106" w:rsidRPr="00F146A2" w:rsidRDefault="00D06508" w:rsidP="003E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. В представленных документах к проекту решения о бюджете не содержится информации об оценке ожидаемого исполнения бюджета текущего года по расходам, что является нарушением ст. 184.2 Бюджетного кодекса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106" w:rsidRPr="00F146A2" w:rsidRDefault="006B2106" w:rsidP="003E5FE9">
      <w:pPr>
        <w:tabs>
          <w:tab w:val="left" w:pos="7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Предложения:</w:t>
      </w:r>
    </w:p>
    <w:p w:rsidR="00FE15D9" w:rsidRPr="0075442F" w:rsidRDefault="00FE15D9" w:rsidP="00FE15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Пакет документов, представляемый на экспертизу с проектом бюджета, должен соответствовать требованиям Бюджетного кодекса РФ.</w:t>
      </w:r>
    </w:p>
    <w:p w:rsidR="00C32B61" w:rsidRPr="00C32B61" w:rsidRDefault="00C32B61" w:rsidP="00C32B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Предусмотреть в бюджете на 2022 год и плановые периоды 2023-2024 годов расходы по социально значимым статьям бюджета (заработная плата, отчисления во внебюджетные фонды и оплата коммунальных услуг, электрической энергии) в максимально полном размере.</w:t>
      </w:r>
    </w:p>
    <w:p w:rsidR="00C32B61" w:rsidRPr="000E7284" w:rsidRDefault="00C32B61" w:rsidP="00C32B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106" w:rsidRPr="00F146A2" w:rsidRDefault="00E41BD5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Предлагаемый проект решения «О бюджете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75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835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75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24AB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75B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годов», в целом соответствует бюджетному законодательству и </w:t>
      </w:r>
      <w:r w:rsidR="006B2106" w:rsidRPr="00FE15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может быть рекомендован для его рассмотрения и принятия Думой </w:t>
      </w:r>
      <w:r w:rsidR="00EA3BBA">
        <w:rPr>
          <w:rFonts w:ascii="Times New Roman" w:hAnsi="Times New Roman" w:cs="Times New Roman"/>
          <w:bCs/>
          <w:sz w:val="24"/>
          <w:szCs w:val="24"/>
          <w:lang w:eastAsia="ru-RU"/>
        </w:rPr>
        <w:t>Чеховского</w:t>
      </w:r>
      <w:r w:rsidR="006B2106" w:rsidRPr="00FE15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EC2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2FBF" w:rsidRPr="00F52FBF">
        <w:rPr>
          <w:rFonts w:ascii="Times New Roman" w:hAnsi="Times New Roman" w:cs="Times New Roman"/>
          <w:bCs/>
          <w:sz w:val="24"/>
          <w:szCs w:val="24"/>
          <w:lang w:eastAsia="ru-RU"/>
        </w:rPr>
        <w:t>с учетом замечаний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D80" w:rsidRDefault="00691D80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B61" w:rsidRDefault="00C32B61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B61" w:rsidRPr="00F146A2" w:rsidRDefault="00C32B61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 прилагается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18A" w:rsidRDefault="0064618A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инспектор в аппарате</w:t>
      </w:r>
    </w:p>
    <w:p w:rsidR="0064618A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 </w:t>
      </w:r>
      <w:r w:rsidR="006461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счетнойпалаты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4618A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«Нижнеудинский район»                                                                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>А.М. Галли</w:t>
      </w:r>
    </w:p>
    <w:p w:rsidR="0064618A" w:rsidRDefault="0064618A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18A" w:rsidRDefault="0064618A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5D9" w:rsidRDefault="00FE15D9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5D9" w:rsidRDefault="00FE15D9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AE14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заключению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106" w:rsidRPr="00F146A2" w:rsidRDefault="006B2106" w:rsidP="00431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B2106" w:rsidRPr="00F146A2" w:rsidRDefault="006B2106" w:rsidP="00164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экспертизе проекта Решения Думы </w:t>
      </w:r>
    </w:p>
    <w:p w:rsidR="006B2106" w:rsidRPr="00F146A2" w:rsidRDefault="00EA3BBA" w:rsidP="00431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образования </w:t>
      </w:r>
    </w:p>
    <w:p w:rsidR="006B2106" w:rsidRPr="00F146A2" w:rsidRDefault="006B2106" w:rsidP="00431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бюджете </w:t>
      </w:r>
      <w:r w:rsidR="00EA3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Чеховского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6B2106" w:rsidRPr="00A32689" w:rsidRDefault="006B2106" w:rsidP="00A32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D54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835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</w:t>
      </w:r>
      <w:r w:rsidR="00FE15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93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885A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483505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2B6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64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18A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D64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E68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г. Нижнеудинск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9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к Заключению по экспертизе проекта решения Думы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«О бюджете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8350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   составлена </w:t>
      </w:r>
      <w:r w:rsidR="0064618A">
        <w:rPr>
          <w:rFonts w:ascii="Times New Roman" w:hAnsi="Times New Roman" w:cs="Times New Roman"/>
          <w:sz w:val="24"/>
          <w:szCs w:val="24"/>
          <w:lang w:eastAsia="ru-RU"/>
        </w:rPr>
        <w:t>ведущим инспектором в аппарате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Контрольно-счетной палаты муниципального района муниципального образования «Нижнеудинский район» А. </w:t>
      </w:r>
      <w:r w:rsidR="0064618A">
        <w:rPr>
          <w:rFonts w:ascii="Times New Roman" w:hAnsi="Times New Roman" w:cs="Times New Roman"/>
          <w:sz w:val="24"/>
          <w:szCs w:val="24"/>
          <w:lang w:eastAsia="ru-RU"/>
        </w:rPr>
        <w:t>М Галли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106" w:rsidRPr="00F146A2" w:rsidRDefault="00483505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  документов   и   материалов,   представляемых    одновременно   с   проектом   бюджета, 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 xml:space="preserve">не в полном объеме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соответствуют   требованиям   ст.  184.2   БК РФ,   статьям    Положения    «О   бюджетном   процессе  в  муниципальном образовании. При этом оценка ожидаемого исполнения бюджета на текущий финансовый год представлена, только по доходам, </w:t>
      </w:r>
      <w:r w:rsidR="006B2106"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расходам оценка исполнения бюджета отсутствует</w:t>
      </w:r>
      <w:r w:rsidRPr="00483505">
        <w:rPr>
          <w:rFonts w:ascii="Times New Roman" w:hAnsi="Times New Roman" w:cs="Times New Roman"/>
          <w:b/>
          <w:sz w:val="24"/>
          <w:szCs w:val="24"/>
          <w:lang w:eastAsia="ru-RU"/>
        </w:rPr>
        <w:t>, отсутствует реестр расходных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Методика планирования бюджетных ассигнований утверждена финансовым управлением Администрации муниципального района муниципального образования «Нижнеудинский район». Составление проекта бюджета осуществлено с учетом основных направлений бюджетной и налоговой политики муниципального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годы, прогноза социально-экономического развития муниципального образования «Нижнеудинский район»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4618A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проекта Закона Иркутской  области «Об областном бюджете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годов». Планирование основных показателей бюджета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осуществлено с учетом ожидаемого исполнения бюджета за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E68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в соответствии с бюджетным и налоговым законодательством. </w:t>
      </w:r>
    </w:p>
    <w:p w:rsidR="00C34103" w:rsidRDefault="007A6AE8" w:rsidP="00C3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Статьёй 1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предлагается утвердить объем дорожного фонда</w:t>
      </w:r>
      <w:r w:rsidR="00C341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4103" w:rsidRPr="00C34103" w:rsidRDefault="00C34103" w:rsidP="00C3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103">
        <w:rPr>
          <w:rFonts w:ascii="Times New Roman" w:hAnsi="Times New Roman" w:cs="Times New Roman"/>
          <w:sz w:val="24"/>
          <w:szCs w:val="24"/>
          <w:lang w:eastAsia="ru-RU"/>
        </w:rPr>
        <w:t xml:space="preserve">      на 20</w:t>
      </w:r>
      <w:r w:rsidR="0048350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0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410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2B61">
        <w:rPr>
          <w:rFonts w:ascii="Times New Roman" w:hAnsi="Times New Roman" w:cs="Times New Roman"/>
          <w:sz w:val="24"/>
          <w:szCs w:val="24"/>
          <w:lang w:eastAsia="ru-RU"/>
        </w:rPr>
        <w:t>778,2</w:t>
      </w:r>
      <w:r w:rsidR="001140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1406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103">
        <w:rPr>
          <w:rFonts w:ascii="Times New Roman" w:hAnsi="Times New Roman" w:cs="Times New Roman"/>
          <w:sz w:val="24"/>
          <w:szCs w:val="24"/>
          <w:lang w:eastAsia="ru-RU"/>
        </w:rPr>
        <w:t xml:space="preserve">рублей;   </w:t>
      </w:r>
    </w:p>
    <w:p w:rsidR="00C34103" w:rsidRPr="00C34103" w:rsidRDefault="007A6AE8" w:rsidP="00C3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103" w:rsidRPr="00C34103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45B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34103" w:rsidRPr="00C3410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2B61">
        <w:rPr>
          <w:rFonts w:ascii="Times New Roman" w:hAnsi="Times New Roman" w:cs="Times New Roman"/>
          <w:sz w:val="24"/>
          <w:szCs w:val="24"/>
          <w:lang w:eastAsia="ru-RU"/>
        </w:rPr>
        <w:t>815,7</w:t>
      </w:r>
      <w:r w:rsidR="001140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1406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103" w:rsidRPr="00C34103">
        <w:rPr>
          <w:rFonts w:ascii="Times New Roman" w:hAnsi="Times New Roman" w:cs="Times New Roman"/>
          <w:sz w:val="24"/>
          <w:szCs w:val="24"/>
          <w:lang w:eastAsia="ru-RU"/>
        </w:rPr>
        <w:t xml:space="preserve">рублей;   </w:t>
      </w:r>
    </w:p>
    <w:p w:rsidR="00C34103" w:rsidRDefault="007A6AE8" w:rsidP="00C3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4103" w:rsidRPr="00C34103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45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34103" w:rsidRPr="00C3410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2B61">
        <w:rPr>
          <w:rFonts w:ascii="Times New Roman" w:hAnsi="Times New Roman" w:cs="Times New Roman"/>
          <w:sz w:val="24"/>
          <w:szCs w:val="24"/>
          <w:lang w:eastAsia="ru-RU"/>
        </w:rPr>
        <w:t>881,0</w:t>
      </w:r>
      <w:r w:rsidR="001140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1406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103" w:rsidRPr="00C34103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6B2106" w:rsidRPr="00F146A2" w:rsidRDefault="006B2106" w:rsidP="00C3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6AE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>Указанная сумма состоит из поступлений в бюджет поселения доходов от уплаты акцизов на дизельное топливо, моторное масло и бензин.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201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доходной части бюджета </w:t>
      </w:r>
      <w:r w:rsidR="00EA3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Чеховского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на </w:t>
      </w:r>
      <w:r w:rsidR="00FD54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C3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44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</w:t>
      </w:r>
      <w:r w:rsidR="00754B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44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624A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44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6B2106" w:rsidRPr="00F146A2" w:rsidRDefault="006B2106" w:rsidP="00AC3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A85B39" w:rsidP="00AC3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доходной части бюджета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34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445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445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показал, что доходы бюджета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34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445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запланированы в объеме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9137,4</w:t>
      </w:r>
      <w:r w:rsidR="00FE1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тыс. рублей. В структуре доходов на налоговые и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 неналоговые доходы приходится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12,9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%. Предполагается, что налоговые и неналоговые доходы в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34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D2BA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поступят в 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бюджет в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объеме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1181,6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BC016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оступлени</w:t>
      </w:r>
      <w:r w:rsidR="00BC01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в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C01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D2BA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BC016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1211,1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. Таким образом,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34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C01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 xml:space="preserve"> году объем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по отношению к текущему году</w:t>
      </w:r>
      <w:r w:rsidR="00FA5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останется неизменным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B2106" w:rsidRPr="00F146A2" w:rsidRDefault="00A85B39" w:rsidP="0048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ожидается в размере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7955,5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 ниже     оценки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03818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767,8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преимущественно </w:t>
      </w:r>
      <w:r w:rsidR="00012510" w:rsidRPr="001973A3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</w:t>
      </w:r>
      <w:r w:rsidR="00012510">
        <w:rPr>
          <w:rFonts w:ascii="Times New Roman" w:hAnsi="Times New Roman" w:cs="Times New Roman"/>
          <w:sz w:val="24"/>
          <w:szCs w:val="24"/>
          <w:lang w:eastAsia="ru-RU"/>
        </w:rPr>
        <w:t xml:space="preserve">того, что в проекте закона Иркутской области «Об областном бюджете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0381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012510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A5A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0381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2510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A5A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0381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510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объем межбюджетных трансфертов не полностью распределен между бюджетами муниципальных образований Иркутской области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5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суммы безвозмездных поступлений составит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% к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03818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012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106" w:rsidRPr="00F146A2" w:rsidRDefault="006B2106" w:rsidP="00AC2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A5A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799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доходы бюджета запланированы в объеме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5764,9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В структуре доходов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21,2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>% приходится на налоговые и неналоговые доходы. Предполагается, что налоговые и неналоговые доходы бю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джета поступят в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B19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799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сум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ме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1224,5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Объем безвозмездных поступлений на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B19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799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ожидается в размере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4540,4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B197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0A7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DB19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3463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="00D90C2D">
        <w:rPr>
          <w:rFonts w:ascii="Times New Roman" w:hAnsi="Times New Roman" w:cs="Times New Roman"/>
          <w:sz w:val="24"/>
          <w:szCs w:val="24"/>
          <w:lang w:eastAsia="ru-RU"/>
        </w:rPr>
        <w:t xml:space="preserve"> уровн</w:t>
      </w:r>
      <w:r w:rsidR="00DB1978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ожидаемых поступлений 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B19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799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B799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0A05BB">
        <w:rPr>
          <w:rFonts w:ascii="Times New Roman" w:hAnsi="Times New Roman" w:cs="Times New Roman"/>
          <w:sz w:val="24"/>
          <w:szCs w:val="24"/>
          <w:lang w:eastAsia="ru-RU"/>
        </w:rPr>
        <w:t>3415,4</w:t>
      </w:r>
      <w:r w:rsidR="0078369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B2106" w:rsidRPr="00F146A2" w:rsidRDefault="006B2106" w:rsidP="00AC3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Default="006B2106" w:rsidP="00B64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 основных характеристик бюджета </w:t>
      </w:r>
    </w:p>
    <w:p w:rsidR="006B2106" w:rsidRPr="00F146A2" w:rsidRDefault="00EA3BBA" w:rsidP="00B64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34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799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B19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799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B2106" w:rsidRDefault="006B2106" w:rsidP="006A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853" w:type="dxa"/>
        <w:tblInd w:w="-106" w:type="dxa"/>
        <w:tblLayout w:type="fixed"/>
        <w:tblLook w:val="0000"/>
      </w:tblPr>
      <w:tblGrid>
        <w:gridCol w:w="2341"/>
        <w:gridCol w:w="1079"/>
        <w:gridCol w:w="900"/>
        <w:gridCol w:w="856"/>
        <w:gridCol w:w="944"/>
        <w:gridCol w:w="1080"/>
        <w:gridCol w:w="900"/>
        <w:gridCol w:w="1067"/>
        <w:gridCol w:w="686"/>
      </w:tblGrid>
      <w:tr w:rsidR="006B2106" w:rsidRPr="000E7336" w:rsidTr="00A85932">
        <w:trPr>
          <w:trHeight w:val="9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106" w:rsidRPr="00A85932" w:rsidRDefault="006B2106" w:rsidP="000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240144" w:rsidP="00DB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="00624AB5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B2106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6B2106" w:rsidP="00DB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 w:rsidR="00FD546F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756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6B2106" w:rsidP="00DB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на </w:t>
            </w:r>
            <w:r w:rsidR="00FD546F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C34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6B2106" w:rsidP="000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6B2106" w:rsidP="00DB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на </w:t>
            </w:r>
            <w:r w:rsidR="00754B90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978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6B2106" w:rsidP="000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6B2106" w:rsidP="00DB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на </w:t>
            </w:r>
            <w:r w:rsidR="00754B90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978"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7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106" w:rsidRPr="00A85932" w:rsidRDefault="006B2106" w:rsidP="000E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703BD8" w:rsidRPr="000E7336" w:rsidTr="00A85932">
        <w:trPr>
          <w:trHeight w:val="3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8" w:rsidRPr="009C27D1" w:rsidRDefault="00703BD8" w:rsidP="000E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7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9C27D1" w:rsidRDefault="000A05BB" w:rsidP="00DB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9C27D1" w:rsidRDefault="000A05BB" w:rsidP="00DB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9C27D1" w:rsidRDefault="000A05BB" w:rsidP="00DB1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1181,6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9C27D1" w:rsidRDefault="000A05BB" w:rsidP="00151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9C27D1" w:rsidRDefault="000A05BB" w:rsidP="00151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9C27D1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9C27D1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9C27D1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105,7</w:t>
            </w:r>
          </w:p>
        </w:tc>
      </w:tr>
      <w:tr w:rsidR="00703BD8" w:rsidRPr="000E7336" w:rsidTr="00A85932">
        <w:trPr>
          <w:trHeight w:val="643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8" w:rsidRPr="00A85932" w:rsidRDefault="00703BD8" w:rsidP="000E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0A05BB" w:rsidP="00C0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8723,6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65,8</w:t>
            </w:r>
          </w:p>
        </w:tc>
      </w:tr>
      <w:tr w:rsidR="00703BD8" w:rsidRPr="000E7336" w:rsidTr="00A85932">
        <w:trPr>
          <w:trHeight w:val="24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8" w:rsidRPr="00A85932" w:rsidRDefault="00703BD8" w:rsidP="000E7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0A05BB" w:rsidP="00C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B40C46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905A02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B40C46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B40C46" w:rsidP="009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703BD8" w:rsidRPr="000E7336" w:rsidTr="00A85932">
        <w:trPr>
          <w:trHeight w:val="36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8" w:rsidRPr="00A85932" w:rsidRDefault="00703BD8" w:rsidP="000E7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0A05BB" w:rsidP="00C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D75661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0A05BB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D75661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9C27D1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9C27D1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971FAB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03BD8" w:rsidRPr="000E7336" w:rsidTr="00A85932">
        <w:trPr>
          <w:trHeight w:val="23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8" w:rsidRPr="00A85932" w:rsidRDefault="00703BD8" w:rsidP="000E7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0A05BB" w:rsidP="00C0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DB7998" w:rsidP="009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BD8" w:rsidRPr="00A85932" w:rsidRDefault="00DB7998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DB7998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5F2A9D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5F2A9D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BD8" w:rsidRPr="00A85932" w:rsidRDefault="000A2980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BD8" w:rsidRPr="00A85932" w:rsidRDefault="00905A02" w:rsidP="005D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D75661" w:rsidRPr="000E7336" w:rsidTr="00A85932">
        <w:trPr>
          <w:trHeight w:val="29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1" w:rsidRPr="00D75661" w:rsidRDefault="00D75661" w:rsidP="00F274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6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61" w:rsidRDefault="000A05BB" w:rsidP="00C05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661" w:rsidRDefault="000A05BB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61" w:rsidRDefault="00D75661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661" w:rsidRDefault="00D75661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661" w:rsidRDefault="00D75661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661" w:rsidRDefault="00D75661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661" w:rsidRDefault="00D75661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661" w:rsidRDefault="00D75661" w:rsidP="005D2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7D1" w:rsidRPr="000E7336" w:rsidTr="00A85932">
        <w:trPr>
          <w:trHeight w:val="29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D1" w:rsidRPr="00A85932" w:rsidRDefault="009C27D1" w:rsidP="00F27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9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9137,4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27D1" w:rsidRPr="00A85932" w:rsidRDefault="00B40C46" w:rsidP="00AD4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</w:tc>
      </w:tr>
    </w:tbl>
    <w:p w:rsidR="0025106B" w:rsidRDefault="00A85B39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6B2106" w:rsidRPr="00F146A2" w:rsidRDefault="0025106B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Основной удельный вес в структуре налоговых и неналоговых доходов приходится на налог на доходы физических лиц</w:t>
      </w:r>
      <w:r w:rsidR="00B02A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акцизы по подакцизным товарам (продукции), производимым на территории Российской Федерации. Расчет налога на доходы физических лиц произведен на основе ожидаемого поступления в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C27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году и прогнозируемого на </w:t>
      </w:r>
      <w:r w:rsidR="00624AB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617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год фонда оплаты труда в соответствии с показателями прогноза развития муниципального образования поселенческого уровня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617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6B2106" w:rsidRPr="00146246" w:rsidRDefault="00A85B39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Среднесписочная численность работающих граждан останется, примерно, на прежнем уровне.</w:t>
      </w:r>
    </w:p>
    <w:p w:rsidR="0025106B" w:rsidRDefault="0025106B" w:rsidP="00C63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106" w:rsidRPr="00F146A2" w:rsidRDefault="006B2106" w:rsidP="00C63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расходной части бюджета</w:t>
      </w:r>
    </w:p>
    <w:p w:rsidR="006B2106" w:rsidRPr="00F146A2" w:rsidRDefault="00EA3BBA" w:rsidP="00C63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Чеховского</w:t>
      </w:r>
      <w:r w:rsidR="002510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на </w:t>
      </w:r>
      <w:r w:rsidR="00FD54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61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B960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плановый 20</w:t>
      </w:r>
      <w:r w:rsidR="002510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B960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2510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B960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B2106" w:rsidRPr="00F146A2" w:rsidRDefault="006B2106" w:rsidP="006A3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632" w:type="dxa"/>
        <w:tblInd w:w="-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  <w:gridCol w:w="1563"/>
        <w:gridCol w:w="1368"/>
        <w:gridCol w:w="1425"/>
        <w:gridCol w:w="1710"/>
        <w:gridCol w:w="1026"/>
      </w:tblGrid>
      <w:tr w:rsidR="006B2106" w:rsidRPr="00F146A2" w:rsidTr="00722440">
        <w:trPr>
          <w:trHeight w:val="983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106" w:rsidRPr="00F146A2" w:rsidRDefault="0025106B" w:rsidP="00B909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 соответствии со статьей 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представленного проекта решения Думы </w:t>
            </w:r>
            <w:r w:rsidR="00EA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Чеховского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«О бюджете </w:t>
            </w:r>
            <w:r w:rsidR="00EA3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Чеховского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образования на </w:t>
            </w:r>
            <w:r w:rsidR="00FD5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1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</w:t>
            </w:r>
            <w:r w:rsidR="00754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9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годов», расходы бюджета   предлагается утвердить в сумме </w:t>
            </w:r>
            <w:r w:rsidR="00B90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9181,7</w:t>
            </w:r>
            <w:r w:rsidR="006B2106" w:rsidRPr="00F14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F5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2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– </w:t>
            </w:r>
            <w:r w:rsidR="00B90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5810,8</w:t>
            </w:r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A85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9E2B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7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– </w:t>
            </w:r>
            <w:r w:rsidR="00B90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4329,3</w:t>
            </w:r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B9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5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106" w:rsidRPr="00F146A2" w:rsidRDefault="006B2106" w:rsidP="00A859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106" w:rsidRPr="00F146A2" w:rsidRDefault="006B2106" w:rsidP="00A859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106" w:rsidRPr="00F146A2" w:rsidRDefault="006B2106" w:rsidP="00A859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106" w:rsidRPr="00F146A2" w:rsidRDefault="006B2106" w:rsidP="00A859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106" w:rsidRPr="00F146A2" w:rsidRDefault="006B2106" w:rsidP="00A859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106" w:rsidRPr="009F0245" w:rsidRDefault="00A85932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B2106"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912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</w:t>
      </w:r>
      <w:r w:rsidR="000A2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912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расход</w:t>
      </w:r>
      <w:r w:rsidR="000A2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ам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D67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298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объем бюджетных ассигнований прогнозируется в размере </w:t>
      </w:r>
      <w:r w:rsidR="00B9093C">
        <w:rPr>
          <w:rFonts w:ascii="Times New Roman" w:hAnsi="Times New Roman" w:cs="Times New Roman"/>
          <w:sz w:val="24"/>
          <w:szCs w:val="24"/>
          <w:lang w:eastAsia="ru-RU"/>
        </w:rPr>
        <w:t>5832,4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9E2BC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17D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год предусмотрено – </w:t>
      </w:r>
      <w:r w:rsidR="00B9093C">
        <w:rPr>
          <w:rFonts w:ascii="Times New Roman" w:hAnsi="Times New Roman" w:cs="Times New Roman"/>
          <w:sz w:val="24"/>
          <w:szCs w:val="24"/>
          <w:lang w:eastAsia="ru-RU"/>
        </w:rPr>
        <w:t>3313,5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96026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026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96026">
        <w:rPr>
          <w:rFonts w:ascii="Times New Roman" w:hAnsi="Times New Roman" w:cs="Times New Roman"/>
          <w:sz w:val="24"/>
          <w:szCs w:val="24"/>
          <w:lang w:eastAsia="ru-RU"/>
        </w:rPr>
        <w:t>, 20</w:t>
      </w:r>
      <w:r w:rsidR="0053262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17D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г – </w:t>
      </w:r>
      <w:r w:rsidR="00B9093C">
        <w:rPr>
          <w:rFonts w:ascii="Times New Roman" w:hAnsi="Times New Roman" w:cs="Times New Roman"/>
          <w:sz w:val="24"/>
          <w:szCs w:val="24"/>
          <w:lang w:eastAsia="ru-RU"/>
        </w:rPr>
        <w:t>2122,2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026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на функционирование высшего должностного лица органа местного самоуправления </w:t>
      </w:r>
      <w:r w:rsidR="009E2BCC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53262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17D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2BCC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B9093C">
        <w:rPr>
          <w:rFonts w:ascii="Times New Roman" w:hAnsi="Times New Roman" w:cs="Times New Roman"/>
          <w:sz w:val="24"/>
          <w:szCs w:val="24"/>
          <w:lang w:eastAsia="ru-RU"/>
        </w:rPr>
        <w:t>681,8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735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9093C" w:rsidRPr="00244A0E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="00607352">
        <w:rPr>
          <w:rFonts w:ascii="Times New Roman" w:hAnsi="Times New Roman" w:cs="Times New Roman"/>
          <w:sz w:val="24"/>
          <w:szCs w:val="24"/>
          <w:lang w:eastAsia="ru-RU"/>
        </w:rPr>
        <w:t>% от прогноза исполнения расходов 20</w:t>
      </w:r>
      <w:r w:rsidR="009469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17D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07352">
        <w:rPr>
          <w:rFonts w:ascii="Times New Roman" w:hAnsi="Times New Roman" w:cs="Times New Roman"/>
          <w:sz w:val="24"/>
          <w:szCs w:val="24"/>
          <w:lang w:eastAsia="ru-RU"/>
        </w:rPr>
        <w:t xml:space="preserve"> года)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. На функционирование местн</w:t>
      </w:r>
      <w:r w:rsidR="00244A0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244A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44A0E">
        <w:rPr>
          <w:rFonts w:ascii="Times New Roman" w:hAnsi="Times New Roman" w:cs="Times New Roman"/>
          <w:sz w:val="24"/>
          <w:szCs w:val="24"/>
          <w:lang w:eastAsia="ru-RU"/>
        </w:rPr>
        <w:t>4237,5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735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44A0E" w:rsidRPr="00244A0E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607352">
        <w:rPr>
          <w:rFonts w:ascii="Times New Roman" w:hAnsi="Times New Roman" w:cs="Times New Roman"/>
          <w:sz w:val="24"/>
          <w:szCs w:val="24"/>
          <w:lang w:eastAsia="ru-RU"/>
        </w:rPr>
        <w:t>% от прогноза исполнения расходов по данному разделу за 20</w:t>
      </w:r>
      <w:r w:rsidR="009469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62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07352">
        <w:rPr>
          <w:rFonts w:ascii="Times New Roman" w:hAnsi="Times New Roman" w:cs="Times New Roman"/>
          <w:sz w:val="24"/>
          <w:szCs w:val="24"/>
          <w:lang w:eastAsia="ru-RU"/>
        </w:rPr>
        <w:t xml:space="preserve"> год)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. Удельный вес расходов по данному разделу в общем объеме расходов бюджета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469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625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3E34BC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D66A4" w:rsidRDefault="00A85B39" w:rsidP="001D66A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Резервный фонд составляет </w:t>
      </w:r>
      <w:r w:rsidR="00FE625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469C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 Размер резервного фонда соответствует требованию, установленному п.3 ст.81 Бюджетного кодекса РФ.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По подразделу 0113 Другие общегосударственные вопросы» предусмотрены расходы в сумме</w:t>
      </w:r>
      <w:r w:rsidR="00946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FE6256">
        <w:rPr>
          <w:rFonts w:ascii="Times New Roman" w:hAnsi="Times New Roman" w:cs="Times New Roman"/>
          <w:sz w:val="24"/>
          <w:szCs w:val="24"/>
          <w:lang w:eastAsia="ru-RU"/>
        </w:rPr>
        <w:t>,7 тысячи рублей</w:t>
      </w:r>
      <w:r w:rsidR="003E34BC">
        <w:rPr>
          <w:rFonts w:ascii="Times New Roman" w:hAnsi="Times New Roman" w:cs="Times New Roman"/>
          <w:sz w:val="24"/>
          <w:szCs w:val="24"/>
          <w:lang w:eastAsia="ru-RU"/>
        </w:rPr>
        <w:t>, из них 0,7 тысяч рублей</w:t>
      </w:r>
      <w:r w:rsidR="00FE62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на исполнение переданных государственных полномочий по вопросам определения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 </w:t>
      </w:r>
    </w:p>
    <w:p w:rsidR="006B2106" w:rsidRPr="00F146A2" w:rsidRDefault="006B2106" w:rsidP="001D66A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разделу 02 «Национальная оборона» 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>предусмотрены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</w:t>
      </w:r>
      <w:r w:rsidR="009E2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по осуществлению переданных полномочий по воинскому учету в поселениях, где отсутствуют военные комиссариаты –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3D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A3D4D">
        <w:rPr>
          <w:rFonts w:ascii="Times New Roman" w:hAnsi="Times New Roman" w:cs="Times New Roman"/>
          <w:sz w:val="24"/>
          <w:szCs w:val="24"/>
          <w:lang w:eastAsia="ru-RU"/>
        </w:rPr>
        <w:t>143,4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A5D5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5A5D5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>, 20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3D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A3D4D">
        <w:rPr>
          <w:rFonts w:ascii="Times New Roman" w:hAnsi="Times New Roman" w:cs="Times New Roman"/>
          <w:sz w:val="24"/>
          <w:szCs w:val="24"/>
          <w:lang w:eastAsia="ru-RU"/>
        </w:rPr>
        <w:t>148,4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5D5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5A5D5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3D4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A5D5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A3D4D">
        <w:rPr>
          <w:rFonts w:ascii="Times New Roman" w:hAnsi="Times New Roman" w:cs="Times New Roman"/>
          <w:sz w:val="24"/>
          <w:szCs w:val="24"/>
          <w:lang w:eastAsia="ru-RU"/>
        </w:rPr>
        <w:t>153,7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554BF" w:rsidRPr="00C6523A" w:rsidRDefault="001D66A4" w:rsidP="001D6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481CC8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"Обеспечение комплексных мер </w:t>
      </w:r>
      <w:r w:rsidR="00481CC8" w:rsidRPr="00A85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противодействия</w:t>
      </w:r>
      <w:r w:rsidR="00481CC8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чрезвычайным ситуациям природного и техногенного характера"</w:t>
      </w:r>
      <w:r w:rsidR="009E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муниципальн</w:t>
      </w:r>
      <w:r w:rsidR="00124025" w:rsidRPr="002523F1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целев</w:t>
      </w:r>
      <w:r w:rsidR="00124025" w:rsidRPr="002523F1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24025" w:rsidRPr="002523F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B2106" w:rsidRPr="002523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4554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248" w:rsidRPr="002523F1">
        <w:rPr>
          <w:rFonts w:ascii="Times New Roman" w:hAnsi="Times New Roman" w:cs="Times New Roman"/>
          <w:bCs/>
          <w:sz w:val="24"/>
          <w:szCs w:val="24"/>
          <w:lang w:eastAsia="ru-RU"/>
        </w:rPr>
        <w:t>"Обеспечение комплексных мер противодействия чрезвычайным ситуациям прир</w:t>
      </w:r>
      <w:r w:rsidR="004554BF">
        <w:rPr>
          <w:rFonts w:ascii="Times New Roman" w:hAnsi="Times New Roman" w:cs="Times New Roman"/>
          <w:bCs/>
          <w:sz w:val="24"/>
          <w:szCs w:val="24"/>
          <w:lang w:eastAsia="ru-RU"/>
        </w:rPr>
        <w:t>одного и техногенного характера</w:t>
      </w:r>
      <w:r w:rsidR="00F02248" w:rsidRPr="002523F1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E34BC">
        <w:rPr>
          <w:rFonts w:ascii="Times New Roman" w:hAnsi="Times New Roman" w:cs="Times New Roman"/>
          <w:sz w:val="24"/>
          <w:szCs w:val="24"/>
          <w:lang w:eastAsia="ru-RU"/>
        </w:rPr>
        <w:t>14,0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554B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руб.  по </w:t>
      </w:r>
      <w:r w:rsidR="004554BF" w:rsidRPr="004245F9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подпрограмме «Предупреждение чрезвычайных ситуаций и обеспечение пожарной безопасности в муниципальном образовании»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E34B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1733E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54B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  <w:r w:rsidR="00263E2E" w:rsidRPr="0026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</w:t>
      </w:r>
      <w:r w:rsidR="00263E2E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26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63E2E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3E2E" w:rsidRPr="0025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6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наркомании в муниципальном образовании</w:t>
      </w:r>
      <w:r w:rsidR="00263E2E" w:rsidRPr="0025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263E2E" w:rsidRPr="002523F1">
        <w:rPr>
          <w:rFonts w:ascii="Times New Roman" w:hAnsi="Times New Roman" w:cs="Times New Roman"/>
          <w:sz w:val="24"/>
          <w:szCs w:val="24"/>
          <w:lang w:eastAsia="ru-RU"/>
        </w:rPr>
        <w:t>расходы на 20</w:t>
      </w:r>
      <w:r w:rsidR="00263E2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3E2E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год запланированы</w:t>
      </w:r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3E34B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263E2E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 руб.; на 2022 год – 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263E2E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E2E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, 2023 год  - </w:t>
      </w:r>
      <w:r w:rsidR="003E34B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263E2E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263E2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</w:t>
      </w:r>
      <w:r w:rsidR="00263E2E" w:rsidRPr="00C6523A">
        <w:rPr>
          <w:rFonts w:ascii="Times New Roman" w:hAnsi="Times New Roman" w:cs="Times New Roman"/>
          <w:sz w:val="24"/>
          <w:szCs w:val="24"/>
          <w:lang w:eastAsia="ru-RU"/>
        </w:rPr>
        <w:t>Прогнозируемые расходы за 202</w:t>
      </w:r>
      <w:r w:rsidR="003E34BC" w:rsidRPr="00C6523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3E2E" w:rsidRPr="00C6523A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составят </w:t>
      </w:r>
      <w:r w:rsidR="00C6523A" w:rsidRPr="00C6523A">
        <w:rPr>
          <w:rFonts w:ascii="Times New Roman" w:hAnsi="Times New Roman" w:cs="Times New Roman"/>
          <w:sz w:val="24"/>
          <w:szCs w:val="24"/>
          <w:lang w:eastAsia="ru-RU"/>
        </w:rPr>
        <w:t>66,9</w:t>
      </w:r>
      <w:r w:rsidR="00263E2E" w:rsidRPr="00C65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63E2E" w:rsidRPr="00C6523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263E2E" w:rsidRPr="00C6523A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B2106" w:rsidRPr="002523F1" w:rsidRDefault="001D66A4" w:rsidP="001D6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481CC8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"Развитие дорожного хозяйства" 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FD546F" w:rsidRPr="002523F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C55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</w:t>
      </w:r>
      <w:r w:rsidR="00E72ACD">
        <w:rPr>
          <w:rFonts w:ascii="Times New Roman" w:hAnsi="Times New Roman" w:cs="Times New Roman"/>
          <w:sz w:val="24"/>
          <w:szCs w:val="24"/>
          <w:lang w:eastAsia="ru-RU"/>
        </w:rPr>
        <w:t>778,2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>; 20</w:t>
      </w:r>
      <w:r w:rsidR="009C55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31D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г – </w:t>
      </w:r>
      <w:r w:rsidR="00E72ACD">
        <w:rPr>
          <w:rFonts w:ascii="Times New Roman" w:hAnsi="Times New Roman" w:cs="Times New Roman"/>
          <w:sz w:val="24"/>
          <w:szCs w:val="24"/>
          <w:lang w:eastAsia="ru-RU"/>
        </w:rPr>
        <w:t>815,7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749E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49EF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749EF">
        <w:rPr>
          <w:rFonts w:ascii="Times New Roman" w:hAnsi="Times New Roman" w:cs="Times New Roman"/>
          <w:sz w:val="24"/>
          <w:szCs w:val="24"/>
          <w:lang w:eastAsia="ru-RU"/>
        </w:rPr>
        <w:t>, 20</w:t>
      </w:r>
      <w:r w:rsidR="00BA067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31DB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г – </w:t>
      </w:r>
      <w:r w:rsidR="00E72ACD">
        <w:rPr>
          <w:rFonts w:ascii="Times New Roman" w:hAnsi="Times New Roman" w:cs="Times New Roman"/>
          <w:sz w:val="24"/>
          <w:szCs w:val="24"/>
          <w:lang w:eastAsia="ru-RU"/>
        </w:rPr>
        <w:t>881,0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49E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запланированы на муниципальную целевую программу «Развитие автомобильных дорог общего пользования, находящихся в муниципальной собственности муниципального образования», за счет поступлений дорожного фонда муниципального образования. </w:t>
      </w:r>
      <w:r w:rsidR="00931DBB">
        <w:rPr>
          <w:rFonts w:ascii="Times New Roman" w:hAnsi="Times New Roman" w:cs="Times New Roman"/>
          <w:sz w:val="24"/>
          <w:szCs w:val="24"/>
          <w:lang w:eastAsia="ru-RU"/>
        </w:rPr>
        <w:t xml:space="preserve">На подпрограмму «Мероприятия в области градостроительства» предусмотрено на 2022 год – </w:t>
      </w:r>
      <w:r w:rsidR="00E72A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31DBB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proofErr w:type="spellStart"/>
      <w:proofErr w:type="gramStart"/>
      <w:r w:rsidR="00931DBB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931DB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F47F0" w:rsidRDefault="001D66A4" w:rsidP="001D6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523F1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  <w:r w:rsidR="00912E5D" w:rsidRPr="0025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"Развитие жилищно-коммунального хозяйства" 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</w:t>
      </w:r>
      <w:r w:rsidR="00FD546F" w:rsidRPr="002523F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C55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год запланированы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251,0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554B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год –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224,0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54B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54BF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554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219,0</w:t>
      </w:r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54BF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4554BF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2749E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5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B39" w:rsidRPr="001C2A14">
        <w:rPr>
          <w:rFonts w:ascii="Times New Roman" w:hAnsi="Times New Roman" w:cs="Times New Roman"/>
          <w:sz w:val="24"/>
          <w:szCs w:val="24"/>
          <w:lang w:eastAsia="ru-RU"/>
        </w:rPr>
        <w:t>Прогнозируемые расходы за 20</w:t>
      </w:r>
      <w:r w:rsidR="00AF47F0" w:rsidRPr="001C2A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45F9" w:rsidRPr="001C2A1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85B39" w:rsidRPr="001C2A14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составят </w:t>
      </w:r>
      <w:r w:rsidR="001C2A14" w:rsidRPr="001C2A14">
        <w:rPr>
          <w:rFonts w:ascii="Times New Roman" w:hAnsi="Times New Roman" w:cs="Times New Roman"/>
          <w:sz w:val="24"/>
          <w:szCs w:val="24"/>
          <w:lang w:eastAsia="ru-RU"/>
        </w:rPr>
        <w:t>193,4</w:t>
      </w:r>
      <w:r w:rsidR="00A85B39" w:rsidRPr="001C2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85B39" w:rsidRPr="001C2A1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85B39" w:rsidRPr="001C2A14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 w:rsidR="00AF47F0" w:rsidRPr="001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2A14" w:rsidRDefault="001D66A4" w:rsidP="001D6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C2A14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  <w:r w:rsidR="001C2A14" w:rsidRPr="0025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1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развитие систем коммунальной инфраструктуры</w:t>
      </w:r>
      <w:r w:rsidR="001C2A14" w:rsidRPr="0025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1C2A14" w:rsidRPr="002523F1">
        <w:rPr>
          <w:rFonts w:ascii="Times New Roman" w:hAnsi="Times New Roman" w:cs="Times New Roman"/>
          <w:sz w:val="24"/>
          <w:szCs w:val="24"/>
          <w:lang w:eastAsia="ru-RU"/>
        </w:rPr>
        <w:t>расходы на 20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1C2A14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год запланированы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5,0 </w:t>
      </w:r>
      <w:proofErr w:type="spellStart"/>
      <w:proofErr w:type="gram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руб.; на 2023 год –5,0 </w:t>
      </w:r>
      <w:proofErr w:type="spell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, 2024  - 5,0 </w:t>
      </w:r>
      <w:proofErr w:type="spell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1C2A14" w:rsidRPr="001C2A14" w:rsidRDefault="001D66A4" w:rsidP="001D6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C2A14" w:rsidRPr="00481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  <w:r w:rsidR="001C2A14" w:rsidRPr="0025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1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окружающей среды</w:t>
      </w:r>
      <w:r w:rsidR="001C2A14" w:rsidRPr="0025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1C2A14" w:rsidRPr="002523F1">
        <w:rPr>
          <w:rFonts w:ascii="Times New Roman" w:hAnsi="Times New Roman" w:cs="Times New Roman"/>
          <w:sz w:val="24"/>
          <w:szCs w:val="24"/>
          <w:lang w:eastAsia="ru-RU"/>
        </w:rPr>
        <w:t>расходы на 20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1C2A14" w:rsidRPr="002523F1">
        <w:rPr>
          <w:rFonts w:ascii="Times New Roman" w:hAnsi="Times New Roman" w:cs="Times New Roman"/>
          <w:sz w:val="24"/>
          <w:szCs w:val="24"/>
          <w:lang w:eastAsia="ru-RU"/>
        </w:rPr>
        <w:t xml:space="preserve"> год запланированы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2,0 </w:t>
      </w:r>
      <w:proofErr w:type="spellStart"/>
      <w:proofErr w:type="gram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руб.; на 2023 год – 2,0 </w:t>
      </w:r>
      <w:proofErr w:type="spell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, 2024  - 2,0 </w:t>
      </w:r>
      <w:proofErr w:type="spellStart"/>
      <w:r w:rsidR="001C2A1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B2106" w:rsidRPr="00F146A2" w:rsidRDefault="001D66A4" w:rsidP="001D6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523F1" w:rsidRPr="003F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  <w:r w:rsidR="00750E1B" w:rsidRPr="003F59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и спорта» </w:t>
      </w:r>
      <w:r w:rsidR="006B2106" w:rsidRPr="003F59A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FD546F" w:rsidRPr="003F59A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C55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3F59A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85B39" w:rsidRPr="003F59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3F59A7">
        <w:rPr>
          <w:rFonts w:ascii="Times New Roman" w:hAnsi="Times New Roman" w:cs="Times New Roman"/>
          <w:sz w:val="24"/>
          <w:szCs w:val="24"/>
          <w:lang w:eastAsia="ru-RU"/>
        </w:rPr>
        <w:t>объем расходов предусмотрен в сумме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2155,0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52F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47F0">
        <w:rPr>
          <w:rFonts w:ascii="Times New Roman" w:hAnsi="Times New Roman" w:cs="Times New Roman"/>
          <w:sz w:val="24"/>
          <w:szCs w:val="24"/>
          <w:lang w:eastAsia="ru-RU"/>
        </w:rPr>
        <w:t xml:space="preserve">что составит </w:t>
      </w:r>
      <w:r w:rsidR="001C2A14" w:rsidRPr="001C2A14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AF47F0">
        <w:rPr>
          <w:rFonts w:ascii="Times New Roman" w:hAnsi="Times New Roman" w:cs="Times New Roman"/>
          <w:sz w:val="24"/>
          <w:szCs w:val="24"/>
          <w:lang w:eastAsia="ru-RU"/>
        </w:rPr>
        <w:t>% от прогноза расходов текущего финансового года. План расхода составит на 202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47F0">
        <w:rPr>
          <w:rFonts w:ascii="Times New Roman" w:hAnsi="Times New Roman" w:cs="Times New Roman"/>
          <w:sz w:val="24"/>
          <w:szCs w:val="24"/>
          <w:lang w:eastAsia="ru-RU"/>
        </w:rPr>
        <w:t xml:space="preserve"> год –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1158,0</w:t>
      </w:r>
      <w:r w:rsidR="00AF4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F47F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F4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7F0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AF47F0">
        <w:rPr>
          <w:rFonts w:ascii="Times New Roman" w:hAnsi="Times New Roman" w:cs="Times New Roman"/>
          <w:sz w:val="24"/>
          <w:szCs w:val="24"/>
          <w:lang w:eastAsia="ru-RU"/>
        </w:rPr>
        <w:t>, 202</w:t>
      </w:r>
      <w:r w:rsidR="004245F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F47F0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740,0</w:t>
      </w:r>
      <w:r w:rsidR="00AF4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7F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AF47F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B2106" w:rsidRPr="00F146A2" w:rsidRDefault="00E93E5A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Запланированы расходы на 2022г н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а содержание учреждений культуры (клубов) –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1642,0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библиотек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510,0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1CC8" w:rsidRDefault="00FD2500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>о подпрограмме «Проведение массовых праздников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запланировано – </w:t>
      </w:r>
      <w:r w:rsidR="00E93E5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C2A14" w:rsidRPr="00FB2A45" w:rsidRDefault="001C2A14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подпрограмме «Физкультура и спорт» запланировано – 2,0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B2106" w:rsidRPr="00F146A2" w:rsidRDefault="006B2106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разделу 10 «Социальная политика» </w:t>
      </w:r>
      <w:r w:rsidR="00391F21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подразделу 1001 </w:t>
      </w:r>
      <w:r w:rsidR="00EE2D24" w:rsidRPr="00F146A2">
        <w:rPr>
          <w:rFonts w:ascii="Times New Roman" w:hAnsi="Times New Roman" w:cs="Times New Roman"/>
          <w:sz w:val="24"/>
          <w:szCs w:val="24"/>
          <w:lang w:eastAsia="ru-RU"/>
        </w:rPr>
        <w:t>расходы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r w:rsidR="00D60287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="00E93E5A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D6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60287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D60287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FD20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3E5A" w:rsidRDefault="006B2106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подразделу 1202 «Периодическая печать и издательства» 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D250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93E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 xml:space="preserve"> год расходы запланированы</w:t>
      </w:r>
      <w:r w:rsidR="00E93E5A">
        <w:rPr>
          <w:rFonts w:ascii="Times New Roman" w:hAnsi="Times New Roman" w:cs="Times New Roman"/>
          <w:sz w:val="24"/>
          <w:szCs w:val="24"/>
          <w:lang w:eastAsia="ru-RU"/>
        </w:rPr>
        <w:t xml:space="preserve"> в объеме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93E5A">
        <w:rPr>
          <w:rFonts w:ascii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proofErr w:type="gramStart"/>
      <w:r w:rsidR="00E93E5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E93E5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B2106" w:rsidRDefault="006B2106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A45">
        <w:rPr>
          <w:rFonts w:ascii="Times New Roman" w:hAnsi="Times New Roman" w:cs="Times New Roman"/>
          <w:bCs/>
          <w:sz w:val="24"/>
          <w:szCs w:val="24"/>
          <w:lang w:eastAsia="ru-RU"/>
        </w:rPr>
        <w:t>Предельный объем</w:t>
      </w:r>
      <w:r w:rsidRPr="006A3129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 по обслуживанию муниципального долга установлен в </w:t>
      </w:r>
      <w:r w:rsidR="00FB2A45">
        <w:rPr>
          <w:rFonts w:ascii="Times New Roman" w:hAnsi="Times New Roman" w:cs="Times New Roman"/>
          <w:sz w:val="24"/>
          <w:szCs w:val="24"/>
          <w:lang w:eastAsia="ru-RU"/>
        </w:rPr>
        <w:t xml:space="preserve">размере </w:t>
      </w:r>
      <w:r w:rsidR="008365EC">
        <w:rPr>
          <w:rFonts w:ascii="Times New Roman" w:hAnsi="Times New Roman" w:cs="Times New Roman"/>
          <w:sz w:val="24"/>
          <w:szCs w:val="24"/>
          <w:lang w:eastAsia="ru-RU"/>
        </w:rPr>
        <w:t>1,0</w:t>
      </w:r>
      <w:r w:rsidRPr="006A312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 не противоречит статье 111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Бюджетного кодекса РФ</w:t>
      </w:r>
      <w:r w:rsidRPr="006A31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B2106" w:rsidRPr="00F146A2" w:rsidRDefault="006B2106" w:rsidP="00E60D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разделу 14 «Межбюджетные трансферты» 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объем расходов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D250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3D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предлагается в сумме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605,1</w:t>
      </w: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 на осуществление переданных полномочий на уровень муниципального района в соответствии с заключенными соглашениями.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Аналогичные </w:t>
      </w:r>
      <w:r w:rsidR="00386B01">
        <w:rPr>
          <w:rFonts w:ascii="Times New Roman" w:hAnsi="Times New Roman" w:cs="Times New Roman"/>
          <w:sz w:val="24"/>
          <w:szCs w:val="24"/>
          <w:lang w:eastAsia="ru-RU"/>
        </w:rPr>
        <w:t xml:space="preserve">суммы 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>ассигновани</w:t>
      </w:r>
      <w:r w:rsidR="00386B0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уста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>новлены и на плановый период 202</w:t>
      </w:r>
      <w:r w:rsidR="00D43D1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 xml:space="preserve"> -20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3D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96026">
        <w:rPr>
          <w:rFonts w:ascii="Times New Roman" w:hAnsi="Times New Roman" w:cs="Times New Roman"/>
          <w:sz w:val="24"/>
          <w:szCs w:val="24"/>
          <w:lang w:eastAsia="ru-RU"/>
        </w:rPr>
        <w:t>гг.</w:t>
      </w:r>
    </w:p>
    <w:p w:rsidR="006B2106" w:rsidRPr="00F146A2" w:rsidRDefault="00A85932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Обязательства по муниципальным гарантиям проектом не предусмотрены. </w:t>
      </w:r>
    </w:p>
    <w:p w:rsidR="006B2106" w:rsidRPr="00F146A2" w:rsidRDefault="00A85932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источников внутреннего финансирования дефицита бюджета </w:t>
      </w:r>
      <w:r w:rsidR="00EA3BBA">
        <w:rPr>
          <w:rFonts w:ascii="Times New Roman" w:hAnsi="Times New Roman" w:cs="Times New Roman"/>
          <w:sz w:val="24"/>
          <w:szCs w:val="24"/>
          <w:lang w:eastAsia="ru-RU"/>
        </w:rPr>
        <w:t>Чеховского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624AB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C66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3D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предлагается утвердить объем привлеченных  кредитов кредитных организаций в сумме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44,3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6B2106" w:rsidRPr="00F146A2" w:rsidRDefault="00A85932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6C1B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Верхний предел   муниципального долга по состоянию на 01 января </w:t>
      </w:r>
      <w:r w:rsidR="00326C1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D43D1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26C1B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года устанавливается в размере</w:t>
      </w:r>
      <w:r w:rsidR="00326C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44,3</w:t>
      </w:r>
      <w:r w:rsidR="00326C1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 соответствует требованию, установленному п.6 ст. 107 </w:t>
      </w:r>
      <w:r w:rsidR="00326C1B" w:rsidRPr="00F146A2">
        <w:rPr>
          <w:rFonts w:ascii="Times New Roman" w:hAnsi="Times New Roman" w:cs="Times New Roman"/>
          <w:sz w:val="24"/>
          <w:szCs w:val="24"/>
          <w:lang w:eastAsia="ru-RU"/>
        </w:rPr>
        <w:t>Бюджетного кодекса РФ</w:t>
      </w:r>
      <w:r w:rsidR="00326C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0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Верхний предел муниципального долга на 01.01.</w:t>
      </w:r>
      <w:r w:rsidR="00754B9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762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3D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в объеме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90,2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>, на 01.01.20</w:t>
      </w:r>
      <w:r w:rsidR="00FB2A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3D1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B2106">
        <w:rPr>
          <w:rFonts w:ascii="Times New Roman" w:hAnsi="Times New Roman" w:cs="Times New Roman"/>
          <w:sz w:val="24"/>
          <w:szCs w:val="24"/>
          <w:lang w:eastAsia="ru-RU"/>
        </w:rPr>
        <w:t xml:space="preserve"> года в  объеме </w:t>
      </w:r>
      <w:r w:rsidR="001C2A14">
        <w:rPr>
          <w:rFonts w:ascii="Times New Roman" w:hAnsi="Times New Roman" w:cs="Times New Roman"/>
          <w:sz w:val="24"/>
          <w:szCs w:val="24"/>
          <w:lang w:eastAsia="ru-RU"/>
        </w:rPr>
        <w:t>138,7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             </w:t>
      </w:r>
    </w:p>
    <w:p w:rsidR="006B2106" w:rsidRPr="00F146A2" w:rsidRDefault="006B2106" w:rsidP="00A8593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A64B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Муниципальные   программы</w:t>
      </w:r>
    </w:p>
    <w:p w:rsidR="006B2106" w:rsidRPr="00F146A2" w:rsidRDefault="006B2106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106" w:rsidRPr="00F146A2" w:rsidRDefault="00A85932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D546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C66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A22C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предусматривается </w:t>
      </w:r>
      <w:r w:rsidR="009A265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FB2A45" w:rsidRPr="00007BA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  <w:bookmarkStart w:id="0" w:name="_GoBack"/>
      <w:bookmarkEnd w:id="0"/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. Общая сумма ассигнований на реализацию муниципальных целевых программ в </w:t>
      </w:r>
      <w:r w:rsidR="009A265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C66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642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году определена, согласно приложению № 9 в сумме </w:t>
      </w:r>
      <w:r w:rsidR="00F62D08">
        <w:rPr>
          <w:rFonts w:ascii="Times New Roman" w:hAnsi="Times New Roman" w:cs="Times New Roman"/>
          <w:sz w:val="24"/>
          <w:szCs w:val="24"/>
          <w:lang w:eastAsia="ru-RU"/>
        </w:rPr>
        <w:t>3200,2</w:t>
      </w:r>
      <w:r w:rsidR="004C3EB1" w:rsidRPr="004C3E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2A45" w:rsidRPr="004C3EB1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FB2A4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что составляет</w:t>
      </w:r>
      <w:r w:rsidR="00FB5A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2D08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 % в общем объеме  расходов.</w:t>
      </w:r>
    </w:p>
    <w:p w:rsidR="006B2106" w:rsidRPr="00F146A2" w:rsidRDefault="000E14C9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2106" w:rsidRPr="00F146A2" w:rsidRDefault="006B2106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106" w:rsidRPr="00F146A2" w:rsidRDefault="006B2106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5BD" w:rsidRDefault="005A25BD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инспектор в аппарате</w:t>
      </w:r>
    </w:p>
    <w:p w:rsidR="006B2106" w:rsidRPr="00F146A2" w:rsidRDefault="000E14C9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КСП </w:t>
      </w:r>
      <w:r w:rsidR="006B2106" w:rsidRPr="00F146A2">
        <w:rPr>
          <w:rFonts w:ascii="Times New Roman" w:hAnsi="Times New Roman" w:cs="Times New Roman"/>
          <w:sz w:val="24"/>
          <w:szCs w:val="24"/>
          <w:lang w:eastAsia="ru-RU"/>
        </w:rPr>
        <w:t>муниципального   района</w:t>
      </w:r>
    </w:p>
    <w:p w:rsidR="006B2106" w:rsidRPr="00F146A2" w:rsidRDefault="006B2106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:rsidR="006B2106" w:rsidRPr="00F146A2" w:rsidRDefault="006B2106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A2">
        <w:rPr>
          <w:rFonts w:ascii="Times New Roman" w:hAnsi="Times New Roman" w:cs="Times New Roman"/>
          <w:sz w:val="24"/>
          <w:szCs w:val="24"/>
          <w:lang w:eastAsia="ru-RU"/>
        </w:rPr>
        <w:t xml:space="preserve">«Нижнеудинский   район»                                                                        </w:t>
      </w:r>
      <w:r w:rsidR="005A25BD">
        <w:rPr>
          <w:rFonts w:ascii="Times New Roman" w:hAnsi="Times New Roman" w:cs="Times New Roman"/>
          <w:sz w:val="24"/>
          <w:szCs w:val="24"/>
          <w:lang w:eastAsia="ru-RU"/>
        </w:rPr>
        <w:t>А.М. Галли</w:t>
      </w:r>
    </w:p>
    <w:p w:rsidR="006B2106" w:rsidRPr="00F146A2" w:rsidRDefault="006B2106" w:rsidP="00887C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2106" w:rsidRPr="00F146A2" w:rsidSect="005716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8C"/>
    <w:multiLevelType w:val="multilevel"/>
    <w:tmpl w:val="5F86183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1">
    <w:nsid w:val="250202F7"/>
    <w:multiLevelType w:val="hybridMultilevel"/>
    <w:tmpl w:val="8670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38CD"/>
    <w:multiLevelType w:val="hybridMultilevel"/>
    <w:tmpl w:val="E02ED4EC"/>
    <w:lvl w:ilvl="0" w:tplc="AD10D2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02F2C1E"/>
    <w:multiLevelType w:val="multilevel"/>
    <w:tmpl w:val="7D84A9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4">
    <w:nsid w:val="675D20D2"/>
    <w:multiLevelType w:val="hybridMultilevel"/>
    <w:tmpl w:val="0866708C"/>
    <w:lvl w:ilvl="0" w:tplc="E8AA77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166A08"/>
    <w:multiLevelType w:val="hybridMultilevel"/>
    <w:tmpl w:val="14ECF88A"/>
    <w:lvl w:ilvl="0" w:tplc="86B67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29"/>
    <w:rsid w:val="000005E6"/>
    <w:rsid w:val="00000F19"/>
    <w:rsid w:val="0000271B"/>
    <w:rsid w:val="00003EDC"/>
    <w:rsid w:val="00007898"/>
    <w:rsid w:val="00007A2C"/>
    <w:rsid w:val="00007BA2"/>
    <w:rsid w:val="00010719"/>
    <w:rsid w:val="000117E4"/>
    <w:rsid w:val="00011D5D"/>
    <w:rsid w:val="00012510"/>
    <w:rsid w:val="000132CB"/>
    <w:rsid w:val="0002476F"/>
    <w:rsid w:val="00024787"/>
    <w:rsid w:val="000249E9"/>
    <w:rsid w:val="00024D0B"/>
    <w:rsid w:val="00036A1B"/>
    <w:rsid w:val="00036CB9"/>
    <w:rsid w:val="00037684"/>
    <w:rsid w:val="0004167D"/>
    <w:rsid w:val="000438B9"/>
    <w:rsid w:val="00044F73"/>
    <w:rsid w:val="00051A99"/>
    <w:rsid w:val="00052CDA"/>
    <w:rsid w:val="00054183"/>
    <w:rsid w:val="0006328A"/>
    <w:rsid w:val="00063D8E"/>
    <w:rsid w:val="00065828"/>
    <w:rsid w:val="00072088"/>
    <w:rsid w:val="0008052D"/>
    <w:rsid w:val="000805D8"/>
    <w:rsid w:val="000874A3"/>
    <w:rsid w:val="00090500"/>
    <w:rsid w:val="000921D3"/>
    <w:rsid w:val="0009366A"/>
    <w:rsid w:val="00097D14"/>
    <w:rsid w:val="000A05BB"/>
    <w:rsid w:val="000A1CB0"/>
    <w:rsid w:val="000A2980"/>
    <w:rsid w:val="000A667A"/>
    <w:rsid w:val="000A6E21"/>
    <w:rsid w:val="000A7510"/>
    <w:rsid w:val="000B0512"/>
    <w:rsid w:val="000B4715"/>
    <w:rsid w:val="000B541B"/>
    <w:rsid w:val="000B601D"/>
    <w:rsid w:val="000C62FA"/>
    <w:rsid w:val="000C675B"/>
    <w:rsid w:val="000D3596"/>
    <w:rsid w:val="000D4CBF"/>
    <w:rsid w:val="000D52F9"/>
    <w:rsid w:val="000E14C9"/>
    <w:rsid w:val="000E2082"/>
    <w:rsid w:val="000E251F"/>
    <w:rsid w:val="000E7336"/>
    <w:rsid w:val="000F2013"/>
    <w:rsid w:val="000F258B"/>
    <w:rsid w:val="000F3602"/>
    <w:rsid w:val="000F3EE3"/>
    <w:rsid w:val="00105C17"/>
    <w:rsid w:val="00113A9B"/>
    <w:rsid w:val="0011406F"/>
    <w:rsid w:val="0011541C"/>
    <w:rsid w:val="00115613"/>
    <w:rsid w:val="00116CE7"/>
    <w:rsid w:val="00117F80"/>
    <w:rsid w:val="00120127"/>
    <w:rsid w:val="00120349"/>
    <w:rsid w:val="00120AE9"/>
    <w:rsid w:val="001237D2"/>
    <w:rsid w:val="001239E7"/>
    <w:rsid w:val="00124025"/>
    <w:rsid w:val="00125BE5"/>
    <w:rsid w:val="0013561D"/>
    <w:rsid w:val="00136719"/>
    <w:rsid w:val="00137537"/>
    <w:rsid w:val="001447BA"/>
    <w:rsid w:val="00144E60"/>
    <w:rsid w:val="00145866"/>
    <w:rsid w:val="00146246"/>
    <w:rsid w:val="00150652"/>
    <w:rsid w:val="00151638"/>
    <w:rsid w:val="0015335E"/>
    <w:rsid w:val="001605A2"/>
    <w:rsid w:val="00163AAC"/>
    <w:rsid w:val="00163FBA"/>
    <w:rsid w:val="001647FA"/>
    <w:rsid w:val="00166852"/>
    <w:rsid w:val="001836C1"/>
    <w:rsid w:val="00185A79"/>
    <w:rsid w:val="00195B0E"/>
    <w:rsid w:val="001973A3"/>
    <w:rsid w:val="001A22CE"/>
    <w:rsid w:val="001B19D9"/>
    <w:rsid w:val="001B6DEA"/>
    <w:rsid w:val="001B7B1A"/>
    <w:rsid w:val="001C03A5"/>
    <w:rsid w:val="001C2A14"/>
    <w:rsid w:val="001C3F96"/>
    <w:rsid w:val="001C4467"/>
    <w:rsid w:val="001D0DBD"/>
    <w:rsid w:val="001D2171"/>
    <w:rsid w:val="001D5B26"/>
    <w:rsid w:val="001D66A4"/>
    <w:rsid w:val="001E3E59"/>
    <w:rsid w:val="0020122E"/>
    <w:rsid w:val="00203818"/>
    <w:rsid w:val="0020755C"/>
    <w:rsid w:val="00211792"/>
    <w:rsid w:val="002152A9"/>
    <w:rsid w:val="00221969"/>
    <w:rsid w:val="00233339"/>
    <w:rsid w:val="0023567E"/>
    <w:rsid w:val="00235C8E"/>
    <w:rsid w:val="00236F15"/>
    <w:rsid w:val="00240144"/>
    <w:rsid w:val="00243300"/>
    <w:rsid w:val="00244A0E"/>
    <w:rsid w:val="00245F89"/>
    <w:rsid w:val="0025106B"/>
    <w:rsid w:val="00251AC8"/>
    <w:rsid w:val="00251E85"/>
    <w:rsid w:val="002523F1"/>
    <w:rsid w:val="002533CB"/>
    <w:rsid w:val="00254653"/>
    <w:rsid w:val="00260313"/>
    <w:rsid w:val="002606AF"/>
    <w:rsid w:val="00263E2E"/>
    <w:rsid w:val="002730C4"/>
    <w:rsid w:val="002749EF"/>
    <w:rsid w:val="0028123F"/>
    <w:rsid w:val="0028400D"/>
    <w:rsid w:val="00284880"/>
    <w:rsid w:val="0029662A"/>
    <w:rsid w:val="00297D77"/>
    <w:rsid w:val="002A15ED"/>
    <w:rsid w:val="002A191A"/>
    <w:rsid w:val="002A2B04"/>
    <w:rsid w:val="002A56C8"/>
    <w:rsid w:val="002A631F"/>
    <w:rsid w:val="002B1669"/>
    <w:rsid w:val="002B74F2"/>
    <w:rsid w:val="002C7BC2"/>
    <w:rsid w:val="002D0468"/>
    <w:rsid w:val="002D121F"/>
    <w:rsid w:val="002D25B1"/>
    <w:rsid w:val="002D38C2"/>
    <w:rsid w:val="002D4608"/>
    <w:rsid w:val="002D7019"/>
    <w:rsid w:val="002E0F9A"/>
    <w:rsid w:val="002E6616"/>
    <w:rsid w:val="002E6D38"/>
    <w:rsid w:val="002F0549"/>
    <w:rsid w:val="002F22E1"/>
    <w:rsid w:val="002F488A"/>
    <w:rsid w:val="0030460A"/>
    <w:rsid w:val="00311A9C"/>
    <w:rsid w:val="00317D04"/>
    <w:rsid w:val="0032294A"/>
    <w:rsid w:val="00324B3D"/>
    <w:rsid w:val="00324DF3"/>
    <w:rsid w:val="003259A5"/>
    <w:rsid w:val="00326C1B"/>
    <w:rsid w:val="0033332D"/>
    <w:rsid w:val="00333ACA"/>
    <w:rsid w:val="00337BFF"/>
    <w:rsid w:val="00343302"/>
    <w:rsid w:val="003451E7"/>
    <w:rsid w:val="003508C9"/>
    <w:rsid w:val="0035380F"/>
    <w:rsid w:val="0036275E"/>
    <w:rsid w:val="00367300"/>
    <w:rsid w:val="003674DE"/>
    <w:rsid w:val="0037056D"/>
    <w:rsid w:val="00370AF3"/>
    <w:rsid w:val="00374960"/>
    <w:rsid w:val="00376225"/>
    <w:rsid w:val="00376A7B"/>
    <w:rsid w:val="0038112E"/>
    <w:rsid w:val="00384454"/>
    <w:rsid w:val="003844DA"/>
    <w:rsid w:val="00386B01"/>
    <w:rsid w:val="00391F21"/>
    <w:rsid w:val="003958DD"/>
    <w:rsid w:val="00395F6A"/>
    <w:rsid w:val="00397DEF"/>
    <w:rsid w:val="003A3417"/>
    <w:rsid w:val="003B0344"/>
    <w:rsid w:val="003B0CA1"/>
    <w:rsid w:val="003B3570"/>
    <w:rsid w:val="003B6DCE"/>
    <w:rsid w:val="003B7DD7"/>
    <w:rsid w:val="003C0A54"/>
    <w:rsid w:val="003C1069"/>
    <w:rsid w:val="003C1462"/>
    <w:rsid w:val="003C79B0"/>
    <w:rsid w:val="003D1490"/>
    <w:rsid w:val="003D5AD3"/>
    <w:rsid w:val="003E34BC"/>
    <w:rsid w:val="003E5FE9"/>
    <w:rsid w:val="003E6DEE"/>
    <w:rsid w:val="003E70AE"/>
    <w:rsid w:val="003F19DC"/>
    <w:rsid w:val="003F59A7"/>
    <w:rsid w:val="003F6479"/>
    <w:rsid w:val="003F75C5"/>
    <w:rsid w:val="0041521B"/>
    <w:rsid w:val="00423903"/>
    <w:rsid w:val="004242D8"/>
    <w:rsid w:val="004245F9"/>
    <w:rsid w:val="00427D63"/>
    <w:rsid w:val="004302F4"/>
    <w:rsid w:val="00431DEE"/>
    <w:rsid w:val="00432E44"/>
    <w:rsid w:val="00434375"/>
    <w:rsid w:val="00435420"/>
    <w:rsid w:val="004357CF"/>
    <w:rsid w:val="004436FD"/>
    <w:rsid w:val="00443AD1"/>
    <w:rsid w:val="004455D8"/>
    <w:rsid w:val="00447569"/>
    <w:rsid w:val="004554BF"/>
    <w:rsid w:val="00460FA9"/>
    <w:rsid w:val="00464116"/>
    <w:rsid w:val="0046432B"/>
    <w:rsid w:val="0046772A"/>
    <w:rsid w:val="0047199C"/>
    <w:rsid w:val="00477A30"/>
    <w:rsid w:val="00477C53"/>
    <w:rsid w:val="0048143D"/>
    <w:rsid w:val="00481CC8"/>
    <w:rsid w:val="00483505"/>
    <w:rsid w:val="00495827"/>
    <w:rsid w:val="00495850"/>
    <w:rsid w:val="00496F00"/>
    <w:rsid w:val="004A1ABC"/>
    <w:rsid w:val="004A4FE2"/>
    <w:rsid w:val="004C3463"/>
    <w:rsid w:val="004C3BE1"/>
    <w:rsid w:val="004C3EB1"/>
    <w:rsid w:val="004C53F6"/>
    <w:rsid w:val="004C5B70"/>
    <w:rsid w:val="004D277D"/>
    <w:rsid w:val="004F03C5"/>
    <w:rsid w:val="004F3C95"/>
    <w:rsid w:val="004F559A"/>
    <w:rsid w:val="004F6E8B"/>
    <w:rsid w:val="00503936"/>
    <w:rsid w:val="00506D30"/>
    <w:rsid w:val="00507DA5"/>
    <w:rsid w:val="0051523F"/>
    <w:rsid w:val="0051733E"/>
    <w:rsid w:val="00523732"/>
    <w:rsid w:val="00523ABE"/>
    <w:rsid w:val="0053262C"/>
    <w:rsid w:val="005334E8"/>
    <w:rsid w:val="005343BE"/>
    <w:rsid w:val="005343D6"/>
    <w:rsid w:val="0053529D"/>
    <w:rsid w:val="005356C7"/>
    <w:rsid w:val="00537112"/>
    <w:rsid w:val="00537482"/>
    <w:rsid w:val="00541440"/>
    <w:rsid w:val="00543EF0"/>
    <w:rsid w:val="0054755C"/>
    <w:rsid w:val="0055056A"/>
    <w:rsid w:val="0055627D"/>
    <w:rsid w:val="00556413"/>
    <w:rsid w:val="00563FB8"/>
    <w:rsid w:val="00565682"/>
    <w:rsid w:val="00571649"/>
    <w:rsid w:val="005736A4"/>
    <w:rsid w:val="00573FDA"/>
    <w:rsid w:val="005819E5"/>
    <w:rsid w:val="00583EDB"/>
    <w:rsid w:val="005904D8"/>
    <w:rsid w:val="005910B6"/>
    <w:rsid w:val="005922FB"/>
    <w:rsid w:val="005934E8"/>
    <w:rsid w:val="00594BB8"/>
    <w:rsid w:val="00596094"/>
    <w:rsid w:val="005A0DA8"/>
    <w:rsid w:val="005A25BD"/>
    <w:rsid w:val="005A2CCC"/>
    <w:rsid w:val="005A3D4D"/>
    <w:rsid w:val="005A5D59"/>
    <w:rsid w:val="005A7674"/>
    <w:rsid w:val="005B10CD"/>
    <w:rsid w:val="005B2141"/>
    <w:rsid w:val="005B21A8"/>
    <w:rsid w:val="005B23FB"/>
    <w:rsid w:val="005D0292"/>
    <w:rsid w:val="005D1284"/>
    <w:rsid w:val="005D1D45"/>
    <w:rsid w:val="005D6D52"/>
    <w:rsid w:val="005E0028"/>
    <w:rsid w:val="005E20E1"/>
    <w:rsid w:val="005E4164"/>
    <w:rsid w:val="005E7DAC"/>
    <w:rsid w:val="005F2A9D"/>
    <w:rsid w:val="005F706C"/>
    <w:rsid w:val="005F7F46"/>
    <w:rsid w:val="00607352"/>
    <w:rsid w:val="00607FF3"/>
    <w:rsid w:val="00612C3F"/>
    <w:rsid w:val="00614473"/>
    <w:rsid w:val="006155A2"/>
    <w:rsid w:val="00616D6B"/>
    <w:rsid w:val="006175D0"/>
    <w:rsid w:val="006179FD"/>
    <w:rsid w:val="00624A06"/>
    <w:rsid w:val="00624AB5"/>
    <w:rsid w:val="0062595A"/>
    <w:rsid w:val="00627612"/>
    <w:rsid w:val="00634EC6"/>
    <w:rsid w:val="00634F2D"/>
    <w:rsid w:val="0063564B"/>
    <w:rsid w:val="00640226"/>
    <w:rsid w:val="00643166"/>
    <w:rsid w:val="00643DBF"/>
    <w:rsid w:val="0064443E"/>
    <w:rsid w:val="0064618A"/>
    <w:rsid w:val="00647E0A"/>
    <w:rsid w:val="00652DFA"/>
    <w:rsid w:val="006530B4"/>
    <w:rsid w:val="00663395"/>
    <w:rsid w:val="00665B56"/>
    <w:rsid w:val="00671B2D"/>
    <w:rsid w:val="006720AD"/>
    <w:rsid w:val="006726EB"/>
    <w:rsid w:val="006737F9"/>
    <w:rsid w:val="006746DF"/>
    <w:rsid w:val="00677760"/>
    <w:rsid w:val="00691D80"/>
    <w:rsid w:val="006A220F"/>
    <w:rsid w:val="006A3129"/>
    <w:rsid w:val="006A407C"/>
    <w:rsid w:val="006A4E66"/>
    <w:rsid w:val="006A6FFB"/>
    <w:rsid w:val="006B2106"/>
    <w:rsid w:val="006C12CB"/>
    <w:rsid w:val="006C1EB6"/>
    <w:rsid w:val="006D0877"/>
    <w:rsid w:val="006D0879"/>
    <w:rsid w:val="006D29AA"/>
    <w:rsid w:val="006D4B08"/>
    <w:rsid w:val="006E4DFA"/>
    <w:rsid w:val="006E606B"/>
    <w:rsid w:val="006E7C20"/>
    <w:rsid w:val="006F15E3"/>
    <w:rsid w:val="006F314F"/>
    <w:rsid w:val="006F6AD5"/>
    <w:rsid w:val="006F7AA7"/>
    <w:rsid w:val="00703BD8"/>
    <w:rsid w:val="00710B8D"/>
    <w:rsid w:val="00711A84"/>
    <w:rsid w:val="00712684"/>
    <w:rsid w:val="0071334E"/>
    <w:rsid w:val="00715D9A"/>
    <w:rsid w:val="00715FF6"/>
    <w:rsid w:val="00722440"/>
    <w:rsid w:val="007249F8"/>
    <w:rsid w:val="00727F95"/>
    <w:rsid w:val="00734E34"/>
    <w:rsid w:val="00735B74"/>
    <w:rsid w:val="00737702"/>
    <w:rsid w:val="00745058"/>
    <w:rsid w:val="00747537"/>
    <w:rsid w:val="00750E1B"/>
    <w:rsid w:val="0075442F"/>
    <w:rsid w:val="00754B90"/>
    <w:rsid w:val="00756D5A"/>
    <w:rsid w:val="00760BDF"/>
    <w:rsid w:val="00761ABD"/>
    <w:rsid w:val="00766AE7"/>
    <w:rsid w:val="007677E8"/>
    <w:rsid w:val="007703EB"/>
    <w:rsid w:val="007720F0"/>
    <w:rsid w:val="0077243F"/>
    <w:rsid w:val="00773F70"/>
    <w:rsid w:val="00783062"/>
    <w:rsid w:val="00783699"/>
    <w:rsid w:val="0078416E"/>
    <w:rsid w:val="007842A4"/>
    <w:rsid w:val="00793D50"/>
    <w:rsid w:val="007A09E2"/>
    <w:rsid w:val="007A0CEF"/>
    <w:rsid w:val="007A3D49"/>
    <w:rsid w:val="007A6AE8"/>
    <w:rsid w:val="007A7B44"/>
    <w:rsid w:val="007B171B"/>
    <w:rsid w:val="007B1BCE"/>
    <w:rsid w:val="007B503E"/>
    <w:rsid w:val="007B6DD1"/>
    <w:rsid w:val="007C47BB"/>
    <w:rsid w:val="007C50FD"/>
    <w:rsid w:val="007C5879"/>
    <w:rsid w:val="007D6D1B"/>
    <w:rsid w:val="007D7BCA"/>
    <w:rsid w:val="007D7FC2"/>
    <w:rsid w:val="007E57DF"/>
    <w:rsid w:val="007E794F"/>
    <w:rsid w:val="007F3258"/>
    <w:rsid w:val="007F498E"/>
    <w:rsid w:val="007F510E"/>
    <w:rsid w:val="00807893"/>
    <w:rsid w:val="00817824"/>
    <w:rsid w:val="00817BC7"/>
    <w:rsid w:val="008207EC"/>
    <w:rsid w:val="008209AD"/>
    <w:rsid w:val="00824D1A"/>
    <w:rsid w:val="00832511"/>
    <w:rsid w:val="008329AC"/>
    <w:rsid w:val="00835ABE"/>
    <w:rsid w:val="00835B9A"/>
    <w:rsid w:val="008365EC"/>
    <w:rsid w:val="0084590D"/>
    <w:rsid w:val="00846500"/>
    <w:rsid w:val="00853685"/>
    <w:rsid w:val="0085501C"/>
    <w:rsid w:val="00855752"/>
    <w:rsid w:val="00861B88"/>
    <w:rsid w:val="008676D4"/>
    <w:rsid w:val="00883C52"/>
    <w:rsid w:val="00885A4E"/>
    <w:rsid w:val="00887CD1"/>
    <w:rsid w:val="008901EF"/>
    <w:rsid w:val="008933A2"/>
    <w:rsid w:val="008A066E"/>
    <w:rsid w:val="008A09CD"/>
    <w:rsid w:val="008A0C06"/>
    <w:rsid w:val="008A1D89"/>
    <w:rsid w:val="008A49D2"/>
    <w:rsid w:val="008A6C43"/>
    <w:rsid w:val="008A6D58"/>
    <w:rsid w:val="008B06D0"/>
    <w:rsid w:val="008B15DB"/>
    <w:rsid w:val="008B1B87"/>
    <w:rsid w:val="008B4916"/>
    <w:rsid w:val="008C071D"/>
    <w:rsid w:val="008C1F6F"/>
    <w:rsid w:val="008C2F89"/>
    <w:rsid w:val="008C60A7"/>
    <w:rsid w:val="008D2BBC"/>
    <w:rsid w:val="008D383F"/>
    <w:rsid w:val="008D7196"/>
    <w:rsid w:val="008E78AA"/>
    <w:rsid w:val="008F5A33"/>
    <w:rsid w:val="0090049D"/>
    <w:rsid w:val="00905A02"/>
    <w:rsid w:val="00910389"/>
    <w:rsid w:val="00910B06"/>
    <w:rsid w:val="0091162B"/>
    <w:rsid w:val="00912D81"/>
    <w:rsid w:val="00912E5D"/>
    <w:rsid w:val="00915293"/>
    <w:rsid w:val="009159D9"/>
    <w:rsid w:val="009208F7"/>
    <w:rsid w:val="00931DBB"/>
    <w:rsid w:val="0093248B"/>
    <w:rsid w:val="0093263F"/>
    <w:rsid w:val="0093327D"/>
    <w:rsid w:val="009343F5"/>
    <w:rsid w:val="00942436"/>
    <w:rsid w:val="00942925"/>
    <w:rsid w:val="0094329F"/>
    <w:rsid w:val="009469CD"/>
    <w:rsid w:val="00960DCE"/>
    <w:rsid w:val="009617A0"/>
    <w:rsid w:val="00962EFE"/>
    <w:rsid w:val="009644A0"/>
    <w:rsid w:val="00970E9F"/>
    <w:rsid w:val="00971916"/>
    <w:rsid w:val="00971FAB"/>
    <w:rsid w:val="00974EB3"/>
    <w:rsid w:val="00991844"/>
    <w:rsid w:val="009924B6"/>
    <w:rsid w:val="00993058"/>
    <w:rsid w:val="00997A31"/>
    <w:rsid w:val="009A051E"/>
    <w:rsid w:val="009A0CFD"/>
    <w:rsid w:val="009A2652"/>
    <w:rsid w:val="009A3CA7"/>
    <w:rsid w:val="009B2C0F"/>
    <w:rsid w:val="009B3839"/>
    <w:rsid w:val="009B4161"/>
    <w:rsid w:val="009B7B98"/>
    <w:rsid w:val="009C2709"/>
    <w:rsid w:val="009C27D1"/>
    <w:rsid w:val="009C55D4"/>
    <w:rsid w:val="009C7D89"/>
    <w:rsid w:val="009D0735"/>
    <w:rsid w:val="009D0B79"/>
    <w:rsid w:val="009D2AC6"/>
    <w:rsid w:val="009D2BA7"/>
    <w:rsid w:val="009D5B4E"/>
    <w:rsid w:val="009D5DCA"/>
    <w:rsid w:val="009D72A8"/>
    <w:rsid w:val="009E2BCC"/>
    <w:rsid w:val="009E42D6"/>
    <w:rsid w:val="009E43AB"/>
    <w:rsid w:val="009F0245"/>
    <w:rsid w:val="009F2514"/>
    <w:rsid w:val="009F498F"/>
    <w:rsid w:val="009F4EF4"/>
    <w:rsid w:val="009F6E13"/>
    <w:rsid w:val="00A003DB"/>
    <w:rsid w:val="00A02748"/>
    <w:rsid w:val="00A04386"/>
    <w:rsid w:val="00A05DA4"/>
    <w:rsid w:val="00A10FBB"/>
    <w:rsid w:val="00A15E13"/>
    <w:rsid w:val="00A209E1"/>
    <w:rsid w:val="00A236E6"/>
    <w:rsid w:val="00A27235"/>
    <w:rsid w:val="00A30E5A"/>
    <w:rsid w:val="00A32689"/>
    <w:rsid w:val="00A346D2"/>
    <w:rsid w:val="00A4313C"/>
    <w:rsid w:val="00A46C9E"/>
    <w:rsid w:val="00A475B1"/>
    <w:rsid w:val="00A50016"/>
    <w:rsid w:val="00A50817"/>
    <w:rsid w:val="00A5117E"/>
    <w:rsid w:val="00A527DB"/>
    <w:rsid w:val="00A56075"/>
    <w:rsid w:val="00A560AA"/>
    <w:rsid w:val="00A5746D"/>
    <w:rsid w:val="00A61B0B"/>
    <w:rsid w:val="00A64BE2"/>
    <w:rsid w:val="00A64CFA"/>
    <w:rsid w:val="00A7464E"/>
    <w:rsid w:val="00A85932"/>
    <w:rsid w:val="00A85B39"/>
    <w:rsid w:val="00A97A7D"/>
    <w:rsid w:val="00AA22FF"/>
    <w:rsid w:val="00AA4AB0"/>
    <w:rsid w:val="00AA5860"/>
    <w:rsid w:val="00AA5AD2"/>
    <w:rsid w:val="00AB102A"/>
    <w:rsid w:val="00AB396A"/>
    <w:rsid w:val="00AC1322"/>
    <w:rsid w:val="00AC2C34"/>
    <w:rsid w:val="00AC3E9A"/>
    <w:rsid w:val="00AD16A2"/>
    <w:rsid w:val="00AD4045"/>
    <w:rsid w:val="00AE14B5"/>
    <w:rsid w:val="00AE446E"/>
    <w:rsid w:val="00AE4D59"/>
    <w:rsid w:val="00AE7B84"/>
    <w:rsid w:val="00AF1B88"/>
    <w:rsid w:val="00AF45A0"/>
    <w:rsid w:val="00AF47F0"/>
    <w:rsid w:val="00B00529"/>
    <w:rsid w:val="00B00EE1"/>
    <w:rsid w:val="00B00F21"/>
    <w:rsid w:val="00B02A0C"/>
    <w:rsid w:val="00B058E5"/>
    <w:rsid w:val="00B07A51"/>
    <w:rsid w:val="00B10716"/>
    <w:rsid w:val="00B126A0"/>
    <w:rsid w:val="00B16607"/>
    <w:rsid w:val="00B16DD8"/>
    <w:rsid w:val="00B2350E"/>
    <w:rsid w:val="00B26488"/>
    <w:rsid w:val="00B27C1B"/>
    <w:rsid w:val="00B320E4"/>
    <w:rsid w:val="00B332B4"/>
    <w:rsid w:val="00B36893"/>
    <w:rsid w:val="00B40C46"/>
    <w:rsid w:val="00B4400D"/>
    <w:rsid w:val="00B4581B"/>
    <w:rsid w:val="00B45945"/>
    <w:rsid w:val="00B460A1"/>
    <w:rsid w:val="00B51E5C"/>
    <w:rsid w:val="00B52F8B"/>
    <w:rsid w:val="00B53C82"/>
    <w:rsid w:val="00B6017E"/>
    <w:rsid w:val="00B64CF4"/>
    <w:rsid w:val="00B73182"/>
    <w:rsid w:val="00B861FB"/>
    <w:rsid w:val="00B87F2A"/>
    <w:rsid w:val="00B9093C"/>
    <w:rsid w:val="00B94662"/>
    <w:rsid w:val="00B94820"/>
    <w:rsid w:val="00B95986"/>
    <w:rsid w:val="00B96026"/>
    <w:rsid w:val="00BA0677"/>
    <w:rsid w:val="00BA0DFF"/>
    <w:rsid w:val="00BA2DC4"/>
    <w:rsid w:val="00BA2E62"/>
    <w:rsid w:val="00BA5FF1"/>
    <w:rsid w:val="00BB0D48"/>
    <w:rsid w:val="00BB0F7E"/>
    <w:rsid w:val="00BB11A2"/>
    <w:rsid w:val="00BB2453"/>
    <w:rsid w:val="00BB3F4E"/>
    <w:rsid w:val="00BB5227"/>
    <w:rsid w:val="00BC0164"/>
    <w:rsid w:val="00BC0AC6"/>
    <w:rsid w:val="00BC0BA2"/>
    <w:rsid w:val="00BC20F8"/>
    <w:rsid w:val="00BD2AFC"/>
    <w:rsid w:val="00BD3ACB"/>
    <w:rsid w:val="00BD6B1C"/>
    <w:rsid w:val="00BE7F98"/>
    <w:rsid w:val="00BF2DB9"/>
    <w:rsid w:val="00BF3AB3"/>
    <w:rsid w:val="00BF3B23"/>
    <w:rsid w:val="00BF662A"/>
    <w:rsid w:val="00C132BF"/>
    <w:rsid w:val="00C14789"/>
    <w:rsid w:val="00C15899"/>
    <w:rsid w:val="00C31FCC"/>
    <w:rsid w:val="00C32B61"/>
    <w:rsid w:val="00C34103"/>
    <w:rsid w:val="00C43B97"/>
    <w:rsid w:val="00C51F7B"/>
    <w:rsid w:val="00C53925"/>
    <w:rsid w:val="00C53C3E"/>
    <w:rsid w:val="00C573EB"/>
    <w:rsid w:val="00C631C1"/>
    <w:rsid w:val="00C6523A"/>
    <w:rsid w:val="00C65E8C"/>
    <w:rsid w:val="00C72547"/>
    <w:rsid w:val="00C73585"/>
    <w:rsid w:val="00C75B78"/>
    <w:rsid w:val="00C83ADD"/>
    <w:rsid w:val="00C855C2"/>
    <w:rsid w:val="00C86EAC"/>
    <w:rsid w:val="00C93802"/>
    <w:rsid w:val="00CA64B4"/>
    <w:rsid w:val="00CA6FDB"/>
    <w:rsid w:val="00CA7E15"/>
    <w:rsid w:val="00CB127F"/>
    <w:rsid w:val="00CB181E"/>
    <w:rsid w:val="00CB3160"/>
    <w:rsid w:val="00CB43EF"/>
    <w:rsid w:val="00CC1D24"/>
    <w:rsid w:val="00CC3262"/>
    <w:rsid w:val="00CC66CE"/>
    <w:rsid w:val="00CC6A10"/>
    <w:rsid w:val="00CC7076"/>
    <w:rsid w:val="00CC7E68"/>
    <w:rsid w:val="00CD1B09"/>
    <w:rsid w:val="00CD28D7"/>
    <w:rsid w:val="00CD2B87"/>
    <w:rsid w:val="00CD3D3B"/>
    <w:rsid w:val="00CD52EC"/>
    <w:rsid w:val="00CE01A1"/>
    <w:rsid w:val="00CE3046"/>
    <w:rsid w:val="00CE33DB"/>
    <w:rsid w:val="00CE44CA"/>
    <w:rsid w:val="00CE46DE"/>
    <w:rsid w:val="00CF00F7"/>
    <w:rsid w:val="00CF19A6"/>
    <w:rsid w:val="00CF2796"/>
    <w:rsid w:val="00CF6CBF"/>
    <w:rsid w:val="00D03A21"/>
    <w:rsid w:val="00D06508"/>
    <w:rsid w:val="00D12540"/>
    <w:rsid w:val="00D12A07"/>
    <w:rsid w:val="00D17C2E"/>
    <w:rsid w:val="00D23C95"/>
    <w:rsid w:val="00D31692"/>
    <w:rsid w:val="00D401EE"/>
    <w:rsid w:val="00D417D7"/>
    <w:rsid w:val="00D42690"/>
    <w:rsid w:val="00D43D1B"/>
    <w:rsid w:val="00D47DD6"/>
    <w:rsid w:val="00D523C9"/>
    <w:rsid w:val="00D60287"/>
    <w:rsid w:val="00D617CE"/>
    <w:rsid w:val="00D642CE"/>
    <w:rsid w:val="00D647A8"/>
    <w:rsid w:val="00D67DDF"/>
    <w:rsid w:val="00D7403A"/>
    <w:rsid w:val="00D75661"/>
    <w:rsid w:val="00D80669"/>
    <w:rsid w:val="00D82CBE"/>
    <w:rsid w:val="00D83348"/>
    <w:rsid w:val="00D86EBA"/>
    <w:rsid w:val="00D90C2D"/>
    <w:rsid w:val="00D91667"/>
    <w:rsid w:val="00D916C8"/>
    <w:rsid w:val="00D92308"/>
    <w:rsid w:val="00D92701"/>
    <w:rsid w:val="00D933D4"/>
    <w:rsid w:val="00DA4002"/>
    <w:rsid w:val="00DA74DA"/>
    <w:rsid w:val="00DB05C0"/>
    <w:rsid w:val="00DB0A9B"/>
    <w:rsid w:val="00DB1978"/>
    <w:rsid w:val="00DB2E5F"/>
    <w:rsid w:val="00DB5E06"/>
    <w:rsid w:val="00DB7998"/>
    <w:rsid w:val="00DC05C7"/>
    <w:rsid w:val="00DC42F0"/>
    <w:rsid w:val="00DC57B4"/>
    <w:rsid w:val="00DD1985"/>
    <w:rsid w:val="00DD6029"/>
    <w:rsid w:val="00DE6825"/>
    <w:rsid w:val="00DF0676"/>
    <w:rsid w:val="00DF2DFD"/>
    <w:rsid w:val="00DF59E0"/>
    <w:rsid w:val="00DF7300"/>
    <w:rsid w:val="00E04A6D"/>
    <w:rsid w:val="00E05CCF"/>
    <w:rsid w:val="00E11550"/>
    <w:rsid w:val="00E26634"/>
    <w:rsid w:val="00E315D0"/>
    <w:rsid w:val="00E31EF2"/>
    <w:rsid w:val="00E41BD5"/>
    <w:rsid w:val="00E4279A"/>
    <w:rsid w:val="00E43D80"/>
    <w:rsid w:val="00E526E1"/>
    <w:rsid w:val="00E54F51"/>
    <w:rsid w:val="00E56684"/>
    <w:rsid w:val="00E57870"/>
    <w:rsid w:val="00E60672"/>
    <w:rsid w:val="00E60DAE"/>
    <w:rsid w:val="00E63452"/>
    <w:rsid w:val="00E64291"/>
    <w:rsid w:val="00E7133E"/>
    <w:rsid w:val="00E72ACD"/>
    <w:rsid w:val="00E762E9"/>
    <w:rsid w:val="00E766F6"/>
    <w:rsid w:val="00E8449F"/>
    <w:rsid w:val="00E84C68"/>
    <w:rsid w:val="00E85F52"/>
    <w:rsid w:val="00E863F6"/>
    <w:rsid w:val="00E919D1"/>
    <w:rsid w:val="00E91B2F"/>
    <w:rsid w:val="00E93E5A"/>
    <w:rsid w:val="00E951A6"/>
    <w:rsid w:val="00E979AD"/>
    <w:rsid w:val="00EA184E"/>
    <w:rsid w:val="00EA2D5A"/>
    <w:rsid w:val="00EA3BBA"/>
    <w:rsid w:val="00EA6677"/>
    <w:rsid w:val="00EB0694"/>
    <w:rsid w:val="00EB60E9"/>
    <w:rsid w:val="00EB6887"/>
    <w:rsid w:val="00EC25A2"/>
    <w:rsid w:val="00EC4560"/>
    <w:rsid w:val="00EC4E54"/>
    <w:rsid w:val="00EC66A2"/>
    <w:rsid w:val="00EC794E"/>
    <w:rsid w:val="00ED1C30"/>
    <w:rsid w:val="00ED2118"/>
    <w:rsid w:val="00ED67D8"/>
    <w:rsid w:val="00ED752C"/>
    <w:rsid w:val="00EE1389"/>
    <w:rsid w:val="00EE1BA3"/>
    <w:rsid w:val="00EE2D24"/>
    <w:rsid w:val="00EE4D64"/>
    <w:rsid w:val="00EF0D90"/>
    <w:rsid w:val="00EF1E6E"/>
    <w:rsid w:val="00F00864"/>
    <w:rsid w:val="00F01EC7"/>
    <w:rsid w:val="00F02248"/>
    <w:rsid w:val="00F02D7B"/>
    <w:rsid w:val="00F03477"/>
    <w:rsid w:val="00F074B2"/>
    <w:rsid w:val="00F14519"/>
    <w:rsid w:val="00F146A2"/>
    <w:rsid w:val="00F16A5B"/>
    <w:rsid w:val="00F179B8"/>
    <w:rsid w:val="00F2034D"/>
    <w:rsid w:val="00F21356"/>
    <w:rsid w:val="00F227C9"/>
    <w:rsid w:val="00F26692"/>
    <w:rsid w:val="00F2749F"/>
    <w:rsid w:val="00F2772D"/>
    <w:rsid w:val="00F278F3"/>
    <w:rsid w:val="00F311EE"/>
    <w:rsid w:val="00F32A93"/>
    <w:rsid w:val="00F35730"/>
    <w:rsid w:val="00F4263F"/>
    <w:rsid w:val="00F429BC"/>
    <w:rsid w:val="00F436DA"/>
    <w:rsid w:val="00F52F07"/>
    <w:rsid w:val="00F52FBF"/>
    <w:rsid w:val="00F62D08"/>
    <w:rsid w:val="00F67697"/>
    <w:rsid w:val="00F700CE"/>
    <w:rsid w:val="00F71387"/>
    <w:rsid w:val="00F77678"/>
    <w:rsid w:val="00F81F4F"/>
    <w:rsid w:val="00F82A57"/>
    <w:rsid w:val="00F8432A"/>
    <w:rsid w:val="00F84D39"/>
    <w:rsid w:val="00F94636"/>
    <w:rsid w:val="00F95E28"/>
    <w:rsid w:val="00FA01E5"/>
    <w:rsid w:val="00FA11DB"/>
    <w:rsid w:val="00FA2779"/>
    <w:rsid w:val="00FA5A53"/>
    <w:rsid w:val="00FA61AC"/>
    <w:rsid w:val="00FB256A"/>
    <w:rsid w:val="00FB2A45"/>
    <w:rsid w:val="00FB404A"/>
    <w:rsid w:val="00FB45BC"/>
    <w:rsid w:val="00FB5A01"/>
    <w:rsid w:val="00FC0143"/>
    <w:rsid w:val="00FC6B55"/>
    <w:rsid w:val="00FC749E"/>
    <w:rsid w:val="00FD20DC"/>
    <w:rsid w:val="00FD22B7"/>
    <w:rsid w:val="00FD2500"/>
    <w:rsid w:val="00FD546F"/>
    <w:rsid w:val="00FE00FF"/>
    <w:rsid w:val="00FE15D9"/>
    <w:rsid w:val="00FE2C74"/>
    <w:rsid w:val="00FE53A9"/>
    <w:rsid w:val="00FE6256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A3129"/>
  </w:style>
  <w:style w:type="paragraph" w:styleId="a4">
    <w:name w:val="header"/>
    <w:basedOn w:val="a"/>
    <w:link w:val="a5"/>
    <w:uiPriority w:val="99"/>
    <w:rsid w:val="006A3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A31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3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A312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6A31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F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0D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B60E9"/>
    <w:pPr>
      <w:ind w:left="720"/>
    </w:pPr>
  </w:style>
  <w:style w:type="paragraph" w:styleId="ac">
    <w:name w:val="Title"/>
    <w:basedOn w:val="a"/>
    <w:next w:val="a"/>
    <w:link w:val="ad"/>
    <w:uiPriority w:val="99"/>
    <w:qFormat/>
    <w:rsid w:val="00DF2DF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DF2DF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locked/>
    <w:rsid w:val="009924B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924B6"/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7992</TotalTime>
  <Pages>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Nikitjuk</cp:lastModifiedBy>
  <cp:revision>225</cp:revision>
  <cp:lastPrinted>2019-12-19T02:44:00Z</cp:lastPrinted>
  <dcterms:created xsi:type="dcterms:W3CDTF">2014-12-05T00:28:00Z</dcterms:created>
  <dcterms:modified xsi:type="dcterms:W3CDTF">2021-12-14T08:58:00Z</dcterms:modified>
</cp:coreProperties>
</file>